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pPr>
        <w:pStyle w:val="ListParagraph"/>
        <w:numPr>
          <w:ilvl w:val="0"/>
          <w:numId w:val="1"/>
        </w:num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Planification Agile du projet</w:t>
      </w:r>
    </w:p>
    <w:p>
      <w:pPr>
        <w:pStyle w:val="gjcqjg1a"/>
        <w:spacing w:line="360" w:lineRule="auto"/>
        <w:jc w:val="both"/>
      </w:pPr>
      <w:r>
        <w:t>La planification du projet s’appuie sur l’approche Agile Scrum. Le Product Backlog est organisé par incréments fonctionnels cohérents avec la structure des chapitres de réalisation. Chaque sprint, prévu sur deux semaines, produit un ensemble de fonctionnalités testables et directement rattachées à une section ou à un sous-titre du rapport.</w:t>
      </w:r>
    </w:p>
    <w:p>
      <w:pPr>
        <w:pStyle w:val="gjcqjg1a"/>
        <w:spacing w:line="360" w:lineRule="auto"/>
        <w:jc w:val="both"/>
      </w:pPr>
      <w:r>
        <w:t>Deux releases structurent cette planification. La première couvre la réalisation du socle SaaS et le cycle de vie complet de la marketplace bancaire. La seconde regroupe les parcours des concessionnaires et des clients, ainsi que les assistants conversationnels. Selon l’ampleur fonctionnelle, un titre de chapitre peut être réalisé par plusieurs sprints, tandis qu’un sous-titre ciblé peut correspondre à un sprint unique.</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1 — SaaS bancaire, onboarding et activation de la marketplace</w:t>
      </w:r>
    </w:p>
    <w:p>
      <w:pPr>
        <w:pStyle w:val="gjcqjg1a"/>
        <w:spacing w:line="360" w:lineRule="auto"/>
        <w:jc w:val="both"/>
      </w:pPr>
      <w:r>
        <w:t>Cette release correspond aux principales sections du chapitre 4. Elle permet de livrer progressivement le socle multi-tenant, la demande de création de marketplace, l’administration SaaS, le paiement puis les espaces bancaire et public.</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S1</w:t>
            </w:r>
          </w:p>
        </w:tc>
        <w:tc>
          <w:tcPr>
            <w:tcW w:type="dxa" w:w="2540"/>
            <w:vAlign w:val="center"/>
          </w:tcPr>
          <w:p>
            <w:pPr>
              <w:spacing w:after="40" w:before="0"/>
              <w:jc w:val="center"/>
            </w:pPr>
            <w:r>
              <w:rPr>
                <w:b/>
                <w:sz w:val="19"/>
              </w:rPr>
              <w:t>Socle SaaS multi-tenant</w:t>
            </w:r>
          </w:p>
        </w:tc>
        <w:tc>
          <w:tcPr>
            <w:tcW w:type="dxa" w:w="5322"/>
            <w:vAlign w:val="center"/>
          </w:tcPr>
          <w:p>
            <w:pPr>
              <w:spacing w:after="40" w:before="0"/>
              <w:jc w:val="center"/>
            </w:pPr>
            <w:r>
              <w:rPr>
                <w:b/>
                <w:sz w:val="19"/>
              </w:rPr>
              <w:t>Authentification, gestion des sessions, autorisation par rôles et application du contexte multi-tenant afin d’isoler les données de chaque banque.</w:t>
            </w:r>
          </w:p>
        </w:tc>
      </w:tr>
      <w:tr>
        <w:tc>
          <w:tcPr>
            <w:tcW w:type="dxa" w:w="1210"/>
            <w:vAlign w:val="center"/>
          </w:tcPr>
          <w:p>
            <w:pPr>
              <w:spacing w:after="40" w:before="0"/>
              <w:jc w:val="center"/>
            </w:pPr>
            <w:r>
              <w:rPr>
                <w:b/>
                <w:sz w:val="19"/>
              </w:rPr>
              <w:t>S2</w:t>
            </w:r>
          </w:p>
        </w:tc>
        <w:tc>
          <w:tcPr>
            <w:tcW w:type="dxa" w:w="2540"/>
            <w:vAlign w:val="center"/>
          </w:tcPr>
          <w:p>
            <w:pPr>
              <w:spacing w:after="40" w:before="0"/>
              <w:jc w:val="center"/>
            </w:pPr>
            <w:r>
              <w:rPr>
                <w:b/>
                <w:sz w:val="19"/>
              </w:rPr>
              <w:t>Demande de création de marketplace</w:t>
            </w:r>
          </w:p>
        </w:tc>
        <w:tc>
          <w:tcPr>
            <w:tcW w:type="dxa" w:w="5322"/>
            <w:vAlign w:val="center"/>
          </w:tcPr>
          <w:p>
            <w:pPr>
              <w:spacing w:after="40" w:before="0"/>
              <w:jc w:val="center"/>
            </w:pPr>
            <w:r>
              <w:rPr>
                <w:b/>
                <w:sz w:val="19"/>
              </w:rPr>
              <w:t>Informations de la banque, futur Administrateur Banque, vérification de l’e-mail, slug, identité visuelle, stores, modules, récapitulatif et soumission.</w:t>
            </w:r>
          </w:p>
        </w:tc>
      </w:tr>
      <w:tr>
        <w:tc>
          <w:tcPr>
            <w:tcW w:type="dxa" w:w="1210"/>
            <w:vAlign w:val="center"/>
          </w:tcPr>
          <w:p>
            <w:pPr>
              <w:spacing w:after="40" w:before="0"/>
              <w:jc w:val="center"/>
            </w:pPr>
            <w:r>
              <w:rPr>
                <w:b/>
                <w:sz w:val="19"/>
              </w:rPr>
              <w:t>S3</w:t>
            </w:r>
          </w:p>
        </w:tc>
        <w:tc>
          <w:tcPr>
            <w:tcW w:type="dxa" w:w="2540"/>
            <w:vAlign w:val="center"/>
          </w:tcPr>
          <w:p>
            <w:pPr>
              <w:spacing w:after="40" w:before="0"/>
              <w:jc w:val="center"/>
            </w:pPr>
            <w:r>
              <w:rPr>
                <w:b/>
                <w:sz w:val="19"/>
              </w:rPr>
              <w:t>Back-office SaaS</w:t>
            </w:r>
          </w:p>
        </w:tc>
        <w:tc>
          <w:tcPr>
            <w:tcW w:type="dxa" w:w="5322"/>
            <w:vAlign w:val="center"/>
          </w:tcPr>
          <w:p>
            <w:pPr>
              <w:spacing w:after="40" w:before="0"/>
              <w:jc w:val="center"/>
            </w:pPr>
            <w:r>
              <w:rPr>
                <w:b/>
                <w:sz w:val="19"/>
              </w:rPr>
              <w:t>Tableau de bord, stores et modules, banques, utilisateurs et rôles, concessionnaires, marketplaces, contenus, offres, abonnements, audit, logs et paramètres.</w:t>
            </w:r>
          </w:p>
        </w:tc>
      </w:tr>
      <w:tr>
        <w:tc>
          <w:tcPr>
            <w:tcW w:type="dxa" w:w="1210"/>
            <w:vAlign w:val="center"/>
          </w:tcPr>
          <w:p>
            <w:pPr>
              <w:spacing w:after="40" w:before="0"/>
              <w:jc w:val="center"/>
            </w:pPr>
            <w:r>
              <w:rPr>
                <w:b/>
                <w:sz w:val="19"/>
              </w:rPr>
              <w:t>S4</w:t>
            </w:r>
          </w:p>
        </w:tc>
        <w:tc>
          <w:tcPr>
            <w:tcW w:type="dxa" w:w="2540"/>
            <w:vAlign w:val="center"/>
          </w:tcPr>
          <w:p>
            <w:pPr>
              <w:spacing w:after="40" w:before="0"/>
              <w:jc w:val="center"/>
            </w:pPr>
            <w:r>
              <w:rPr>
                <w:b/>
                <w:sz w:val="19"/>
              </w:rPr>
              <w:t>Traitement, paiement et activation</w:t>
            </w:r>
          </w:p>
        </w:tc>
        <w:tc>
          <w:tcPr>
            <w:tcW w:type="dxa" w:w="5322"/>
            <w:vAlign w:val="center"/>
          </w:tcPr>
          <w:p>
            <w:pPr>
              <w:spacing w:after="40" w:before="0"/>
              <w:jc w:val="center"/>
            </w:pPr>
            <w:r>
              <w:rPr>
                <w:b/>
                <w:sz w:val="19"/>
              </w:rPr>
              <w:t>Consultation des demandes, approbation ou rejet avec motif, e-mails, lien Stripe, contrôle du paiement, activation de la banque, de la marketplace, de l’abonnement et du compte Administrateur Banque.</w:t>
            </w:r>
          </w:p>
        </w:tc>
      </w:tr>
      <w:tr>
        <w:tc>
          <w:tcPr>
            <w:tcW w:type="dxa" w:w="1210"/>
            <w:vAlign w:val="center"/>
          </w:tcPr>
          <w:p>
            <w:pPr>
              <w:spacing w:after="40" w:before="0"/>
              <w:jc w:val="center"/>
            </w:pPr>
            <w:r>
              <w:rPr>
                <w:b/>
                <w:sz w:val="19"/>
              </w:rPr>
              <w:t>S5</w:t>
            </w:r>
          </w:p>
        </w:tc>
        <w:tc>
          <w:tcPr>
            <w:tcW w:type="dxa" w:w="2540"/>
            <w:vAlign w:val="center"/>
          </w:tcPr>
          <w:p>
            <w:pPr>
              <w:spacing w:after="40" w:before="0"/>
              <w:jc w:val="center"/>
            </w:pPr>
            <w:r>
              <w:rPr>
                <w:b/>
                <w:sz w:val="19"/>
              </w:rPr>
              <w:t>Back-office Banque et marketplace publique</w:t>
            </w:r>
          </w:p>
        </w:tc>
        <w:tc>
          <w:tcPr>
            <w:tcW w:type="dxa" w:w="5322"/>
            <w:vAlign w:val="center"/>
          </w:tcPr>
          <w:p>
            <w:pPr>
              <w:spacing w:after="40" w:before="0"/>
              <w:jc w:val="center"/>
            </w:pPr>
            <w:r>
              <w:rPr>
                <w:b/>
                <w:sz w:val="19"/>
              </w:rPr>
              <w:t>Personnalisation et contenus, configuration des stores et modules, renouvellement ou ajout de services, accueil public, produits, comparateur, simulateur, chatbot et demande de financement.</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2 — Parcours des concessionnaires, des clients et assistants conversationnels</w:t>
      </w:r>
    </w:p>
    <w:p>
      <w:pPr>
        <w:pStyle w:val="gjcqjg1a"/>
        <w:spacing w:line="360" w:lineRule="auto"/>
        <w:jc w:val="both"/>
      </w:pPr>
      <w:r>
        <w:t>Cette release correspond aux sections du chapitre 5. Elle traite les parcours métier qui complètent l’exploitation de la marketplace, depuis l’inscription des concessionnaires jusqu’au dépôt et au traitement des demandes de financement des clients.</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S6</w:t>
            </w:r>
          </w:p>
        </w:tc>
        <w:tc>
          <w:tcPr>
            <w:tcW w:type="dxa" w:w="2540"/>
            <w:vAlign w:val="center"/>
          </w:tcPr>
          <w:p>
            <w:pPr>
              <w:spacing w:after="40" w:before="0"/>
              <w:jc w:val="center"/>
            </w:pPr>
            <w:r>
              <w:rPr>
                <w:b/>
                <w:sz w:val="19"/>
              </w:rPr>
              <w:t>Inscription et validation du concessionnaire</w:t>
            </w:r>
          </w:p>
        </w:tc>
        <w:tc>
          <w:tcPr>
            <w:tcW w:type="dxa" w:w="5322"/>
            <w:vAlign w:val="center"/>
          </w:tcPr>
          <w:p>
            <w:pPr>
              <w:spacing w:after="40" w:before="0"/>
              <w:jc w:val="center"/>
            </w:pPr>
            <w:r>
              <w:rPr>
                <w:b/>
                <w:sz w:val="19"/>
              </w:rPr>
              <w:t>Demande d’inscription, dépôt des pièces justificatives, contrôle SaaS, création du compte et e-mail des identifiants.</w:t>
            </w:r>
          </w:p>
        </w:tc>
      </w:tr>
      <w:tr>
        <w:tc>
          <w:tcPr>
            <w:tcW w:type="dxa" w:w="1210"/>
            <w:vAlign w:val="center"/>
          </w:tcPr>
          <w:p>
            <w:pPr>
              <w:spacing w:after="40" w:before="0"/>
              <w:jc w:val="center"/>
            </w:pPr>
            <w:r>
              <w:rPr>
                <w:b/>
                <w:sz w:val="19"/>
              </w:rPr>
              <w:t>S7</w:t>
            </w:r>
          </w:p>
        </w:tc>
        <w:tc>
          <w:tcPr>
            <w:tcW w:type="dxa" w:w="2540"/>
            <w:vAlign w:val="center"/>
          </w:tcPr>
          <w:p>
            <w:pPr>
              <w:spacing w:after="40" w:before="0"/>
              <w:jc w:val="center"/>
            </w:pPr>
            <w:r>
              <w:rPr>
                <w:b/>
                <w:sz w:val="19"/>
              </w:rPr>
              <w:t>Partenariats et contrats</w:t>
            </w:r>
          </w:p>
        </w:tc>
        <w:tc>
          <w:tcPr>
            <w:tcW w:type="dxa" w:w="5322"/>
            <w:vAlign w:val="center"/>
          </w:tcPr>
          <w:p>
            <w:pPr>
              <w:spacing w:after="40" w:before="0"/>
              <w:jc w:val="center"/>
            </w:pPr>
            <w:r>
              <w:rPr>
                <w:b/>
                <w:sz w:val="19"/>
              </w:rPr>
              <w:t>Demandes initiées par la banque ou le concessionnaire, validation, cycle de vie du contrat et gestion des conditions de collaboration.</w:t>
            </w:r>
          </w:p>
        </w:tc>
      </w:tr>
      <w:tr>
        <w:tc>
          <w:tcPr>
            <w:tcW w:type="dxa" w:w="1210"/>
            <w:vAlign w:val="center"/>
          </w:tcPr>
          <w:p>
            <w:pPr>
              <w:spacing w:after="40" w:before="0"/>
              <w:jc w:val="center"/>
            </w:pPr>
            <w:r>
              <w:rPr>
                <w:b/>
                <w:sz w:val="19"/>
              </w:rPr>
              <w:t>S8</w:t>
            </w:r>
          </w:p>
        </w:tc>
        <w:tc>
          <w:tcPr>
            <w:tcW w:type="dxa" w:w="2540"/>
            <w:vAlign w:val="center"/>
          </w:tcPr>
          <w:p>
            <w:pPr>
              <w:spacing w:after="40" w:before="0"/>
              <w:jc w:val="center"/>
            </w:pPr>
            <w:r>
              <w:rPr>
                <w:b/>
                <w:sz w:val="19"/>
              </w:rPr>
              <w:t>Produits, publications et suivi des dossiers</w:t>
            </w:r>
          </w:p>
        </w:tc>
        <w:tc>
          <w:tcPr>
            <w:tcW w:type="dxa" w:w="5322"/>
            <w:vAlign w:val="center"/>
          </w:tcPr>
          <w:p>
            <w:pPr>
              <w:spacing w:after="40" w:before="0"/>
              <w:jc w:val="center"/>
            </w:pPr>
            <w:r>
              <w:rPr>
                <w:b/>
                <w:sz w:val="19"/>
              </w:rPr>
              <w:t>Catalogue centralisé, stock, publications par marketplace et consultation des demandes de financement associées aux produits.</w:t>
            </w:r>
          </w:p>
        </w:tc>
      </w:tr>
      <w:tr>
        <w:tc>
          <w:tcPr>
            <w:tcW w:type="dxa" w:w="1210"/>
            <w:vAlign w:val="center"/>
          </w:tcPr>
          <w:p>
            <w:pPr>
              <w:spacing w:after="40" w:before="0"/>
              <w:jc w:val="center"/>
            </w:pPr>
            <w:r>
              <w:rPr>
                <w:b/>
                <w:sz w:val="19"/>
              </w:rPr>
              <w:t>S9</w:t>
            </w:r>
          </w:p>
        </w:tc>
        <w:tc>
          <w:tcPr>
            <w:tcW w:type="dxa" w:w="2540"/>
            <w:vAlign w:val="center"/>
          </w:tcPr>
          <w:p>
            <w:pPr>
              <w:spacing w:after="40" w:before="0"/>
              <w:jc w:val="center"/>
            </w:pPr>
            <w:r>
              <w:rPr>
                <w:b/>
                <w:sz w:val="19"/>
              </w:rPr>
              <w:t>Parcours client et demande de financement</w:t>
            </w:r>
          </w:p>
        </w:tc>
        <w:tc>
          <w:tcPr>
            <w:tcW w:type="dxa" w:w="5322"/>
            <w:vAlign w:val="center"/>
          </w:tcPr>
          <w:p>
            <w:pPr>
              <w:spacing w:after="40" w:before="0"/>
              <w:jc w:val="center"/>
            </w:pPr>
            <w:r>
              <w:rPr>
                <w:b/>
                <w:sz w:val="19"/>
              </w:rPr>
              <w:t>Inscription et vérification du compte, consultation, comparaison, simulation, constitution et traitement du dossier.</w:t>
            </w:r>
          </w:p>
        </w:tc>
      </w:tr>
      <w:tr>
        <w:tc>
          <w:tcPr>
            <w:tcW w:type="dxa" w:w="1210"/>
            <w:vAlign w:val="center"/>
          </w:tcPr>
          <w:p>
            <w:pPr>
              <w:spacing w:after="40" w:before="0"/>
              <w:jc w:val="center"/>
            </w:pPr>
            <w:r>
              <w:rPr>
                <w:b/>
                <w:sz w:val="19"/>
              </w:rPr>
              <w:t>S10</w:t>
            </w:r>
          </w:p>
        </w:tc>
        <w:tc>
          <w:tcPr>
            <w:tcW w:type="dxa" w:w="2540"/>
            <w:vAlign w:val="center"/>
          </w:tcPr>
          <w:p>
            <w:pPr>
              <w:spacing w:after="40" w:before="0"/>
              <w:jc w:val="center"/>
            </w:pPr>
            <w:r>
              <w:rPr>
                <w:b/>
                <w:sz w:val="19"/>
              </w:rPr>
              <w:t>Assistants conversationnels et validation</w:t>
            </w:r>
          </w:p>
        </w:tc>
        <w:tc>
          <w:tcPr>
            <w:tcW w:type="dxa" w:w="5322"/>
            <w:vAlign w:val="center"/>
          </w:tcPr>
          <w:p>
            <w:pPr>
              <w:spacing w:after="40" w:before="0"/>
              <w:jc w:val="center"/>
            </w:pPr>
            <w:r>
              <w:rPr>
                <w:b/>
                <w:sz w:val="19"/>
              </w:rPr>
              <w:t>Assistant IA du SaaS, chatbot public à règles métier, contrôle des accès, tests et validation fonctionnelle globale.</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Correspondance entre les titres de réalisation et les sprints</w:t>
      </w:r>
    </w:p>
    <w:p>
      <w:pPr>
        <w:pStyle w:val="gjcqjg1a"/>
        <w:spacing w:line="360" w:lineRule="auto"/>
        <w:jc w:val="both"/>
      </w:pPr>
      <w:r>
        <w:t>Le tableau suivant explicite le rattachement entre la structure fonctionnelle du rapport et les incréments prévus dans le Product Backlog.</w:t>
      </w:r>
    </w:p>
    <w:tbl>
      <w:tblPr>
        <w:tblStyle w:val="GridTable1Light-Accent1"/>
        <w:tblW w:type="auto" w:w="0"/>
        <w:tblLayout w:type="fixed"/>
        <w:tblLook w:firstColumn="1" w:firstRow="1" w:lastColumn="0" w:lastRow="0" w:noHBand="0" w:noVBand="1" w:val="04A0"/>
      </w:tblPr>
      <w:tblGrid>
        <w:gridCol w:w="3024"/>
        <w:gridCol w:w="3024"/>
        <w:gridCol w:w="3024"/>
      </w:tblGrid>
      <w:tr>
        <w:tc>
          <w:tcPr>
            <w:tcW w:type="dxa" w:w="1210"/>
            <w:vAlign w:val="center"/>
          </w:tcPr>
          <w:p>
            <w:pPr>
              <w:spacing w:after="40" w:before="0"/>
              <w:jc w:val="center"/>
            </w:pPr>
            <w:r>
              <w:rPr>
                <w:b/>
                <w:sz w:val="19"/>
              </w:rPr>
              <w:t>Titre ou sous-titre de réalisation</w:t>
            </w:r>
          </w:p>
        </w:tc>
        <w:tc>
          <w:tcPr>
            <w:tcW w:type="dxa" w:w="2540"/>
            <w:vAlign w:val="center"/>
          </w:tcPr>
          <w:p>
            <w:pPr>
              <w:spacing w:after="40" w:before="0"/>
              <w:jc w:val="center"/>
            </w:pPr>
            <w:r>
              <w:rPr>
                <w:b/>
                <w:sz w:val="19"/>
              </w:rPr>
              <w:t>Sprint</w:t>
            </w:r>
          </w:p>
        </w:tc>
        <w:tc>
          <w:tcPr>
            <w:tcW w:type="dxa" w:w="5322"/>
            <w:vAlign w:val="center"/>
          </w:tcPr>
          <w:p>
            <w:pPr>
              <w:spacing w:after="40" w:before="0"/>
              <w:jc w:val="center"/>
            </w:pPr>
            <w:r>
              <w:rPr>
                <w:b/>
                <w:sz w:val="19"/>
              </w:rPr>
              <w:t>Incrément fonctionnel livré</w:t>
            </w:r>
          </w:p>
        </w:tc>
      </w:tr>
      <w:tr>
        <w:tc>
          <w:tcPr>
            <w:tcW w:type="dxa" w:w="3024"/>
            <w:vAlign w:val="center"/>
          </w:tcPr>
          <w:p>
            <w:pPr>
              <w:spacing w:after="40" w:before="0"/>
              <w:jc w:val="center"/>
            </w:pPr>
            <w:r>
              <w:rPr>
                <w:b/>
                <w:sz w:val="19"/>
              </w:rPr>
              <w:t>Chapitre 4 — Authentification, autorisation et contexte multi-tenant</w:t>
            </w:r>
          </w:p>
        </w:tc>
        <w:tc>
          <w:tcPr>
            <w:tcW w:type="dxa" w:w="3024"/>
            <w:vAlign w:val="center"/>
          </w:tcPr>
          <w:p>
            <w:pPr>
              <w:spacing w:after="40" w:before="0"/>
              <w:jc w:val="center"/>
            </w:pPr>
            <w:r>
              <w:rPr>
                <w:b/>
                <w:sz w:val="19"/>
              </w:rPr>
              <w:t>S1</w:t>
            </w:r>
          </w:p>
        </w:tc>
        <w:tc>
          <w:tcPr>
            <w:tcW w:type="dxa" w:w="3024"/>
            <w:vAlign w:val="center"/>
          </w:tcPr>
          <w:p>
            <w:pPr>
              <w:spacing w:after="40" w:before="0"/>
              <w:jc w:val="center"/>
            </w:pPr>
            <w:r>
              <w:rPr>
                <w:b/>
                <w:sz w:val="19"/>
              </w:rPr>
              <w:t>Accès sécurisé, rôles et cloisonnement des données par banque.</w:t>
            </w:r>
          </w:p>
        </w:tc>
      </w:tr>
      <w:tr>
        <w:tc>
          <w:tcPr>
            <w:tcW w:type="dxa" w:w="3024"/>
            <w:vAlign w:val="center"/>
          </w:tcPr>
          <w:p>
            <w:pPr>
              <w:spacing w:after="40" w:before="0"/>
              <w:jc w:val="center"/>
            </w:pPr>
            <w:r>
              <w:rPr>
                <w:b/>
                <w:sz w:val="19"/>
              </w:rPr>
              <w:t>Chapitre 4 — Demande de création de marketplace bancaire</w:t>
            </w:r>
          </w:p>
        </w:tc>
        <w:tc>
          <w:tcPr>
            <w:tcW w:type="dxa" w:w="3024"/>
            <w:vAlign w:val="center"/>
          </w:tcPr>
          <w:p>
            <w:pPr>
              <w:spacing w:after="40" w:before="0"/>
              <w:jc w:val="center"/>
            </w:pPr>
            <w:r>
              <w:rPr>
                <w:b/>
                <w:sz w:val="19"/>
              </w:rPr>
              <w:t>S2</w:t>
            </w:r>
          </w:p>
        </w:tc>
        <w:tc>
          <w:tcPr>
            <w:tcW w:type="dxa" w:w="3024"/>
            <w:vAlign w:val="center"/>
          </w:tcPr>
          <w:p>
            <w:pPr>
              <w:spacing w:after="40" w:before="0"/>
              <w:jc w:val="center"/>
            </w:pPr>
            <w:r>
              <w:rPr>
                <w:b/>
                <w:sz w:val="19"/>
              </w:rPr>
              <w:t>Saisie, vérification e-mail, configuration, stores, modules et soumission.</w:t>
            </w:r>
          </w:p>
        </w:tc>
      </w:tr>
      <w:tr>
        <w:tc>
          <w:tcPr>
            <w:tcW w:type="dxa" w:w="3024"/>
            <w:vAlign w:val="center"/>
          </w:tcPr>
          <w:p>
            <w:pPr>
              <w:spacing w:after="40" w:before="0"/>
              <w:jc w:val="center"/>
            </w:pPr>
            <w:r>
              <w:rPr>
                <w:b/>
                <w:sz w:val="19"/>
              </w:rPr>
              <w:t>Chapitre 4 — Back-office SaaS : administration et supervision</w:t>
            </w:r>
          </w:p>
        </w:tc>
        <w:tc>
          <w:tcPr>
            <w:tcW w:type="dxa" w:w="3024"/>
            <w:vAlign w:val="center"/>
          </w:tcPr>
          <w:p>
            <w:pPr>
              <w:spacing w:after="40" w:before="0"/>
              <w:jc w:val="center"/>
            </w:pPr>
            <w:r>
              <w:rPr>
                <w:b/>
                <w:sz w:val="19"/>
              </w:rPr>
              <w:t>S3</w:t>
            </w:r>
          </w:p>
        </w:tc>
        <w:tc>
          <w:tcPr>
            <w:tcW w:type="dxa" w:w="3024"/>
            <w:vAlign w:val="center"/>
          </w:tcPr>
          <w:p>
            <w:pPr>
              <w:spacing w:after="40" w:before="0"/>
              <w:jc w:val="center"/>
            </w:pPr>
            <w:r>
              <w:rPr>
                <w:b/>
                <w:sz w:val="19"/>
              </w:rPr>
              <w:t>Tableau de bord et gestion des acteurs, catalogues, contenus, abonnements, audit et paramètres.</w:t>
            </w:r>
          </w:p>
        </w:tc>
      </w:tr>
      <w:tr>
        <w:tc>
          <w:tcPr>
            <w:tcW w:type="dxa" w:w="3024"/>
            <w:vAlign w:val="center"/>
          </w:tcPr>
          <w:p>
            <w:pPr>
              <w:spacing w:after="40" w:before="0"/>
              <w:jc w:val="center"/>
            </w:pPr>
            <w:r>
              <w:rPr>
                <w:b/>
                <w:sz w:val="19"/>
              </w:rPr>
              <w:t>Chapitre 4 — Traitement, approbation et paiement</w:t>
            </w:r>
          </w:p>
        </w:tc>
        <w:tc>
          <w:tcPr>
            <w:tcW w:type="dxa" w:w="3024"/>
            <w:vAlign w:val="center"/>
          </w:tcPr>
          <w:p>
            <w:pPr>
              <w:spacing w:after="40" w:before="0"/>
              <w:jc w:val="center"/>
            </w:pPr>
            <w:r>
              <w:rPr>
                <w:b/>
                <w:sz w:val="19"/>
              </w:rPr>
              <w:t>S4</w:t>
            </w:r>
          </w:p>
        </w:tc>
        <w:tc>
          <w:tcPr>
            <w:tcW w:type="dxa" w:w="3024"/>
            <w:vAlign w:val="center"/>
          </w:tcPr>
          <w:p>
            <w:pPr>
              <w:spacing w:after="40" w:before="0"/>
              <w:jc w:val="center"/>
            </w:pPr>
            <w:r>
              <w:rPr>
                <w:b/>
                <w:sz w:val="19"/>
              </w:rPr>
              <w:t>Décision, e-mails, paiement Stripe et activation conditionnelle des services.</w:t>
            </w:r>
          </w:p>
        </w:tc>
      </w:tr>
      <w:tr>
        <w:tc>
          <w:tcPr>
            <w:tcW w:type="dxa" w:w="3024"/>
            <w:vAlign w:val="center"/>
          </w:tcPr>
          <w:p>
            <w:pPr>
              <w:spacing w:after="40" w:before="0"/>
              <w:jc w:val="center"/>
            </w:pPr>
            <w:r>
              <w:rPr>
                <w:b/>
                <w:sz w:val="19"/>
              </w:rPr>
              <w:t>Chapitre 4 — Back-office Banque et marketplace publique</w:t>
            </w:r>
          </w:p>
        </w:tc>
        <w:tc>
          <w:tcPr>
            <w:tcW w:type="dxa" w:w="3024"/>
            <w:vAlign w:val="center"/>
          </w:tcPr>
          <w:p>
            <w:pPr>
              <w:spacing w:after="40" w:before="0"/>
              <w:jc w:val="center"/>
            </w:pPr>
            <w:r>
              <w:rPr>
                <w:b/>
                <w:sz w:val="19"/>
              </w:rPr>
              <w:t>S5</w:t>
            </w:r>
          </w:p>
        </w:tc>
        <w:tc>
          <w:tcPr>
            <w:tcW w:type="dxa" w:w="3024"/>
            <w:vAlign w:val="center"/>
          </w:tcPr>
          <w:p>
            <w:pPr>
              <w:spacing w:after="40" w:before="0"/>
              <w:jc w:val="center"/>
            </w:pPr>
            <w:r>
              <w:rPr>
                <w:b/>
                <w:sz w:val="19"/>
              </w:rPr>
              <w:t>Configuration bancaire, services souscrits et parcours public jusqu’à la demande de financement.</w:t>
            </w:r>
          </w:p>
        </w:tc>
      </w:tr>
      <w:tr>
        <w:tc>
          <w:tcPr>
            <w:tcW w:type="dxa" w:w="3024"/>
            <w:vAlign w:val="center"/>
          </w:tcPr>
          <w:p>
            <w:pPr>
              <w:spacing w:after="40" w:before="0"/>
              <w:jc w:val="left"/>
            </w:pPr>
            <w:r>
              <w:rPr>
                <w:b/>
                <w:sz w:val="19"/>
              </w:rPr>
              <w:t>Chapitre 5 — Inscription et validation du concessionnaire</w:t>
            </w:r>
          </w:p>
        </w:tc>
        <w:tc>
          <w:tcPr>
            <w:tcW w:type="dxa" w:w="3024"/>
            <w:vAlign w:val="center"/>
          </w:tcPr>
          <w:p>
            <w:pPr>
              <w:spacing w:after="40" w:before="0"/>
              <w:jc w:val="center"/>
            </w:pPr>
            <w:r>
              <w:rPr>
                <w:b/>
                <w:sz w:val="19"/>
              </w:rPr>
              <w:t>S6</w:t>
            </w:r>
          </w:p>
        </w:tc>
        <w:tc>
          <w:tcPr>
            <w:tcW w:type="dxa" w:w="3024"/>
            <w:vAlign w:val="center"/>
          </w:tcPr>
          <w:p>
            <w:pPr>
              <w:spacing w:after="40" w:before="0"/>
              <w:jc w:val="left"/>
            </w:pPr>
            <w:r>
              <w:rPr>
                <w:b/>
                <w:sz w:val="19"/>
              </w:rPr>
              <w:t>Onboarding contrôlé du concessionnaire.</w:t>
            </w:r>
          </w:p>
        </w:tc>
      </w:tr>
      <w:tr>
        <w:tc>
          <w:tcPr>
            <w:tcW w:type="dxa" w:w="3024"/>
            <w:vAlign w:val="center"/>
          </w:tcPr>
          <w:p>
            <w:pPr>
              <w:spacing w:after="40" w:before="0"/>
              <w:jc w:val="left"/>
            </w:pPr>
            <w:r>
              <w:rPr>
                <w:b/>
                <w:sz w:val="19"/>
              </w:rPr>
              <w:t>Chapitre 5 — Partenariats et contrats</w:t>
            </w:r>
          </w:p>
        </w:tc>
        <w:tc>
          <w:tcPr>
            <w:tcW w:type="dxa" w:w="3024"/>
            <w:vAlign w:val="center"/>
          </w:tcPr>
          <w:p>
            <w:pPr>
              <w:spacing w:after="40" w:before="0"/>
              <w:jc w:val="center"/>
            </w:pPr>
            <w:r>
              <w:rPr>
                <w:b/>
                <w:sz w:val="19"/>
              </w:rPr>
              <w:t>S7</w:t>
            </w:r>
          </w:p>
        </w:tc>
        <w:tc>
          <w:tcPr>
            <w:tcW w:type="dxa" w:w="3024"/>
            <w:vAlign w:val="center"/>
          </w:tcPr>
          <w:p>
            <w:pPr>
              <w:spacing w:after="40" w:before="0"/>
              <w:jc w:val="left"/>
            </w:pPr>
            <w:r>
              <w:rPr>
                <w:b/>
                <w:sz w:val="19"/>
              </w:rPr>
              <w:t>Collaboration banque-concessionnaire et contractualisation.</w:t>
            </w:r>
          </w:p>
        </w:tc>
      </w:tr>
      <w:tr>
        <w:tc>
          <w:tcPr>
            <w:tcW w:type="dxa" w:w="3024"/>
            <w:vAlign w:val="center"/>
          </w:tcPr>
          <w:p>
            <w:pPr>
              <w:spacing w:after="40" w:before="0"/>
              <w:jc w:val="left"/>
            </w:pPr>
            <w:r>
              <w:rPr>
                <w:b/>
                <w:sz w:val="19"/>
              </w:rPr>
              <w:t>Chapitre 5 — Produits, publications et suivi des demandes</w:t>
            </w:r>
          </w:p>
        </w:tc>
        <w:tc>
          <w:tcPr>
            <w:tcW w:type="dxa" w:w="3024"/>
            <w:vAlign w:val="center"/>
          </w:tcPr>
          <w:p>
            <w:pPr>
              <w:spacing w:after="40" w:before="0"/>
              <w:jc w:val="center"/>
            </w:pPr>
            <w:r>
              <w:rPr>
                <w:b/>
                <w:sz w:val="19"/>
              </w:rPr>
              <w:t>S8</w:t>
            </w:r>
          </w:p>
        </w:tc>
        <w:tc>
          <w:tcPr>
            <w:tcW w:type="dxa" w:w="3024"/>
            <w:vAlign w:val="center"/>
          </w:tcPr>
          <w:p>
            <w:pPr>
              <w:spacing w:after="40" w:before="0"/>
              <w:jc w:val="left"/>
            </w:pPr>
            <w:r>
              <w:rPr>
                <w:b/>
                <w:sz w:val="19"/>
              </w:rPr>
              <w:t>Gestion centralisée du catalogue et des dossiers liés aux produits.</w:t>
            </w:r>
          </w:p>
        </w:tc>
      </w:tr>
      <w:tr>
        <w:tc>
          <w:tcPr>
            <w:tcW w:type="dxa" w:w="3024"/>
            <w:vAlign w:val="center"/>
          </w:tcPr>
          <w:p>
            <w:pPr>
              <w:spacing w:after="40" w:before="0"/>
              <w:jc w:val="left"/>
            </w:pPr>
            <w:r>
              <w:rPr>
                <w:b/>
                <w:sz w:val="19"/>
              </w:rPr>
              <w:t>Chapitre 5 — Parcours client et demande de financement</w:t>
            </w:r>
          </w:p>
        </w:tc>
        <w:tc>
          <w:tcPr>
            <w:tcW w:type="dxa" w:w="3024"/>
            <w:vAlign w:val="center"/>
          </w:tcPr>
          <w:p>
            <w:pPr>
              <w:spacing w:after="40" w:before="0"/>
              <w:jc w:val="center"/>
            </w:pPr>
            <w:r>
              <w:rPr>
                <w:b/>
                <w:sz w:val="19"/>
              </w:rPr>
              <w:t>S9</w:t>
            </w:r>
          </w:p>
        </w:tc>
        <w:tc>
          <w:tcPr>
            <w:tcW w:type="dxa" w:w="3024"/>
            <w:vAlign w:val="center"/>
          </w:tcPr>
          <w:p>
            <w:pPr>
              <w:spacing w:after="40" w:before="0"/>
              <w:jc w:val="left"/>
            </w:pPr>
            <w:r>
              <w:rPr>
                <w:b/>
                <w:sz w:val="19"/>
              </w:rPr>
              <w:t>Du compte client jusqu’à la décision bancaire sur le dossier.</w:t>
            </w:r>
          </w:p>
        </w:tc>
      </w:tr>
      <w:tr>
        <w:tc>
          <w:tcPr>
            <w:tcW w:type="dxa" w:w="3024"/>
            <w:vAlign w:val="center"/>
          </w:tcPr>
          <w:p>
            <w:pPr>
              <w:spacing w:after="40" w:before="0"/>
              <w:jc w:val="left"/>
            </w:pPr>
            <w:r>
              <w:rPr>
                <w:b/>
                <w:sz w:val="19"/>
              </w:rPr>
              <w:t>Chapitre 5 — Assistants conversationnels</w:t>
            </w:r>
          </w:p>
        </w:tc>
        <w:tc>
          <w:tcPr>
            <w:tcW w:type="dxa" w:w="3024"/>
            <w:vAlign w:val="center"/>
          </w:tcPr>
          <w:p>
            <w:pPr>
              <w:spacing w:after="40" w:before="0"/>
              <w:jc w:val="center"/>
            </w:pPr>
            <w:r>
              <w:rPr>
                <w:b/>
                <w:sz w:val="19"/>
              </w:rPr>
              <w:t>S10</w:t>
            </w:r>
          </w:p>
        </w:tc>
        <w:tc>
          <w:tcPr>
            <w:tcW w:type="dxa" w:w="3024"/>
            <w:vAlign w:val="center"/>
          </w:tcPr>
          <w:p>
            <w:pPr>
              <w:spacing w:after="40" w:before="0"/>
              <w:jc w:val="left"/>
            </w:pPr>
            <w:r>
              <w:rPr>
                <w:b/>
                <w:sz w:val="19"/>
              </w:rPr>
              <w:t>Assistant IA du SaaS, chatbot public et validation finale.</w:t>
            </w:r>
          </w:p>
        </w:tc>
      </w:tr>
    </w:tbl>
    <w:p>
      <w:pPr>
        <w:pStyle w:val="gjcqjg1a"/>
        <w:spacing w:line="360" w:lineRule="auto"/>
        <w:jc w:val="both"/>
      </w:pPr>
      <w:r>
        <w:t>À l’issue de chaque sprint, les fonctionnalités réalisées font l’objet de tests techniques et fonctionnels avant leur présentation en Sprint Review. Les retours recueillis permettent d’ajuster les priorités du Product Backlog et de préparer le sprint suivant. Cette planification maintient ainsi une progression cohérente entre les titres du rapport, les besoins fonctionnels et les incréments effectivement livrés.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pPr>
        <w:pStyle w:val="Heading2"/>
        <w:rPr>
          <w:rFonts w:asciiTheme="majorBidi" w:hAnsiTheme="majorBidi"/>
          <w:b/>
          <w:bCs/>
          <w:color w:val="auto"/>
          <w:sz w:val="32"/>
          <w:szCs w:val="32"/>
        </w:rPr>
      </w:pPr>
      <w:r>
        <w:rPr>
          <w:rFonts w:asciiTheme="majorBidi" w:hAnsiTheme="majorBidi"/>
          <w:b/>
          <w:bCs/>
          <w:color w:val="auto"/>
          <w:sz w:val="32"/>
          <w:szCs w:val="32"/>
        </w:rPr>
        <w:t>3. Modélisation UML des besoins fonctionnels</w:t>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3.1. Cas d’utilisation détaillés alignés sur le Product Backlog</w:t>
      </w:r>
    </w:p>
    <w:p>
      <w:pPr>
        <w:spacing w:line="360" w:lineRule="auto"/>
        <w:jc w:val="both"/>
        <w:rPr>
          <w:rFonts w:asciiTheme="majorBidi" w:hAnsiTheme="majorBidi"/>
          <w:sz w:val="24"/>
          <w:szCs w:val="24"/>
        </w:rPr>
      </w:pPr>
      <w:r>
        <w:rPr>
          <w:rFonts w:asciiTheme="majorBidi" w:hAnsiTheme="majorBidi" w:cstheme="majorBidi"/>
          <w:sz w:val="24"/>
          <w:szCs w:val="24"/>
        </w:rPr>
        <w:t>Les cas d’utilisation détaillés ci-après sont structurés à partir des dix sprints du Product Backlog et des fonctionnalités réalisées dans les chapitres 4 et 5. Chaque diagramme représente un processus métier cohérent. Les acteurs sont positionnés à l’extérieur de la frontière du système Matchia, tandis que les objectifs sont représentés par des cas d’utilisation. Les relations &lt;&lt;include&gt;&gt; désignent des sous-fonctions obligatoires ; les relations &lt;&lt;extend&gt;&gt; représentent des traitements conditionnels, notamment les décisions de rejet ou les activations dépendantes d’un paiement confirmé.</w:t>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UC-01 — Accéder à un espace sécurisé</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S1.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1" name="Picture 51" descr="Figure 3.5 — Diagramme de cas d’utilisation détaillé de l’accès sécurisé multi-tenant" title="Figure 3.5 — Diagramme de cas d’utilisation détaillé de l’accès sécurisé multi-tenant"/>
            <wp:cNvGraphicFramePr>
              <a:graphicFrameLocks noChangeAspect="1"/>
            </wp:cNvGraphicFramePr>
            <a:graphic>
              <a:graphicData uri="http://schemas.openxmlformats.org/drawingml/2006/picture">
                <pic:pic>
                  <pic:nvPicPr>
                    <pic:cNvPr id="0" name="uc_sprint_01.png"/>
                    <pic:cNvPicPr/>
                  </pic:nvPicPr>
                  <pic:blipFill>
                    <a:blip r:embed="rId58"/>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3.5 — Diagramme de cas d’utilisation détaillé de l’accès sécurisé multi-tenant</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3.1 — Description du scénario UC-01</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UC-01 — Accéder à un espace sécurisé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S1 — Socle SaaS multi-tenant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Utilisateur autorisé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Accéder à l’espace correspondant à son rôle sans consulter les données d’un autre tenant.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Compte actif et identifiants valides.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L’utilisateur soumet le formulaire de connexion.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L’utilisateur saisit son e-mail et son mot de passe. 2. Le système vérifie les identifiants. 3. Il récupère le rôle associé. 4. Pour les espaces bancaires, il applique le contexte de la banque concernée. 5. Il ouvre l’espace autorisé.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Identifiants erronés ou compte inactif : l’accès est refusé. Jeton expiré : l’utilisateur doit se reconnecter. Une ressource appartenant à un autre tenant est inaccessible.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session authentifiée est ouverte avec les droits et le périmètre de données appropriés.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UC-02 — Déposer une demande de marketplace</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S2.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2" name="Picture 52" descr="Figure 3.6 — Diagramme de cas d’utilisation détaillé de la demande de création d’une marketplace" title="Figure 3.6 — Diagramme de cas d’utilisation détaillé de la demande de création d’une marketplace"/>
            <wp:cNvGraphicFramePr>
              <a:graphicFrameLocks noChangeAspect="1"/>
            </wp:cNvGraphicFramePr>
            <a:graphic>
              <a:graphicData uri="http://schemas.openxmlformats.org/drawingml/2006/picture">
                <pic:pic>
                  <pic:nvPicPr>
                    <pic:cNvPr id="0" name="uc_sprint_02.png"/>
                    <pic:cNvPicPr/>
                  </pic:nvPicPr>
                  <pic:blipFill>
                    <a:blip r:embed="rId59"/>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3.6 — Diagramme de cas d’utilisation détaillé de la demande de création d’une marketplace</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3.2 — Description du scénario UC-02</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UC-02 — Déposer une demande de marketplace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S2 — Demande de création de marketplace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Représentant de la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Transmettre une demande complète en vue de créer une marketplace bancaire.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formulaire d’adhésion est accessible et l’adresse e-mail du futur administrateur n’est pas déjà utilisée.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représentant accède au formulaire public de demande.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Le représentant renseigne les données de la banque. 2. Il saisit les informations du futur Administrateur Banque. 3. Il valide le code reçu par e-mail. 4. Il configure le slug et les éléments d’identité de la marketplace. 5. Il choisit les stores et modules. 6. Il vérifie le récapitulatif puis soumet.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donnée invalide impose une correction. Un code e-mail incorrect ou expiré peut être renvoyé. Le représentant peut revenir sur les choix de stores ou de modules avant la soumission.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demande est enregistrée à l’état en attente et une notification est créée pour l’Administrateur SaaS.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UC-03 — Administrer la plateforme SaaS</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S3.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3" name="Picture 53" descr="Figure 3.7 — Diagramme de cas d’utilisation détaillé de l’administration SaaS" title="Figure 3.7 — Diagramme de cas d’utilisation détaillé de l’administration SaaS"/>
            <wp:cNvGraphicFramePr>
              <a:graphicFrameLocks noChangeAspect="1"/>
            </wp:cNvGraphicFramePr>
            <a:graphic>
              <a:graphicData uri="http://schemas.openxmlformats.org/drawingml/2006/picture">
                <pic:pic>
                  <pic:nvPicPr>
                    <pic:cNvPr id="0" name="uc_sprint_03.png"/>
                    <pic:cNvPicPr/>
                  </pic:nvPicPr>
                  <pic:blipFill>
                    <a:blip r:embed="rId60"/>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3.7 — Diagramme de cas d’utilisation détaillé de l’administration SaaS</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3.3 — Description du scénario UC-03</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UC-03 — Administrer la plateforme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S3 — Back-office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Gemini pour l’assistant analytique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Administrer les ressources globales et superviser les tenants de la plateforme.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Utilisateur authentifié avec le rôle Administrateur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L’administrateur accède au Back-office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L’administrateur consulte les indicateurs. 2. Il gère les banques, marketplaces, utilisateurs, stores et modules. 3. Il configure les offres et consulte les abonnements. 4. Il consulte les journaux d’audit et les paramètres autorisés.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ressource peut être filtrée, recherchée ou désactivée selon son statut. L’assistant IA peut être interrogé pour une consultation analytique.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Les modifications autorisées sont persistées et les actions sensibles sont traçables dans les journaux d’audit.</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UC-04 — Traiter une demande et activer les services</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S4.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4" name="Picture 54" descr="Figure 3.8 — Diagramme de cas d’utilisation détaillé du traitement, du paiement et de l’activation" title="Figure 3.8 — Diagramme de cas d’utilisation détaillé du traitement, du paiement et de l’activation"/>
            <wp:cNvGraphicFramePr>
              <a:graphicFrameLocks noChangeAspect="1"/>
            </wp:cNvGraphicFramePr>
            <a:graphic>
              <a:graphicData uri="http://schemas.openxmlformats.org/drawingml/2006/picture">
                <pic:pic>
                  <pic:nvPicPr>
                    <pic:cNvPr id="0" name="uc_sprint_04.png"/>
                    <pic:cNvPicPr/>
                  </pic:nvPicPr>
                  <pic:blipFill>
                    <a:blip r:embed="rId61"/>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3.8 — Diagramme de cas d’utilisation détaillé du traitement, du paiement et de l’activation</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3.4 — Description du scénario UC-04</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UC-04 — Traiter une demande et activer les services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S4 — Traitement, paiement et activation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Stripe et 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Décider d’une demande puis activer les ressources uniquement après confirmation du paiement.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Demande complète au statut en attente.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L’Administrateur SaaS ouvre le détail d’une demande.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L’administrateur vérifie le dossier. 2. Il approuve la demande. 3. Le système crée l’opération Stripe et envoie le lien de paiement. 4. Le contact bancaire réalise le paiement. 5. Le backend vérifie le statut confirmé auprès de Stripe. 6. Il active la banque, la marketplace, l’abonnement et le compte Administrateur Banque. 7. Il envoie les identifiants de connexion.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L’administrateur rejette la demande avec un motif et un e-mail est envoyé. Si le paiement est annulé ou non confirmé, les ressources restent inactives.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demande est rejetée avec un motif, ou la banque et ses services sont activés après paiement confirmé.</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UC-05 — Configurer et utiliser une marketplace bancaire</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S5.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5" name="Picture 55" descr="Figure 3.9 — Diagramme de cas d’utilisation détaillé de la configuration et de la marketplace publique" title="Figure 3.9 — Diagramme de cas d’utilisation détaillé de la configuration et de la marketplace publique"/>
            <wp:cNvGraphicFramePr>
              <a:graphicFrameLocks noChangeAspect="1"/>
            </wp:cNvGraphicFramePr>
            <a:graphic>
              <a:graphicData uri="http://schemas.openxmlformats.org/drawingml/2006/picture">
                <pic:pic>
                  <pic:nvPicPr>
                    <pic:cNvPr id="0" name="uc_sprint_05.png"/>
                    <pic:cNvPicPr/>
                  </pic:nvPicPr>
                  <pic:blipFill>
                    <a:blip r:embed="rId62"/>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3.9 — Diagramme de cas d’utilisation détaillé de la configuration et de la marketplace publique</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3.5 — Description du scénario UC-05</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UC-05 — Configurer et utiliser une marketplace bancaire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S5 — Back-office Banque et marketplace publique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Visiteur de la marketplace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Configurer les services souscrits et offrir un parcours public adapté à la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Marketplace active, abonnement valide et Administrateur Banque authentifié pour les fonctions privées.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L’administrateur ouvre le Back-office Banque ou le visiteur accède à la marketplace publique.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L’administrateur personnalise les contenus et l’identité de la marketplace. 2. Il configure les stores et modules autorisés. 3. Le visiteur consulte les offres publiées. 4. Si les modules sont actifs, il compare les produits, simule un financement ou utilise le chatbot.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demande de renouvellement ou d’ajout de services est transmise au SaaS. Un module non souscrit n’est pas disponible sur la marketplace.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configuration est enregistrée dans le tenant bancaire et les services publics autorisés sont visibles aux visiteurs.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UC-06 — Inscrire et valider un concessionnaire</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S6.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6" name="Picture 56" descr="Figure 3.10 — Diagramme de cas d’utilisation détaillé de l’inscription et de la validation d’un concessionnaire" title="Figure 3.10 — Diagramme de cas d’utilisation détaillé de l’inscription et de la validation d’un concessionnaire"/>
            <wp:cNvGraphicFramePr>
              <a:graphicFrameLocks noChangeAspect="1"/>
            </wp:cNvGraphicFramePr>
            <a:graphic>
              <a:graphicData uri="http://schemas.openxmlformats.org/drawingml/2006/picture">
                <pic:pic>
                  <pic:nvPicPr>
                    <pic:cNvPr id="0" name="uc_sprint_06.png"/>
                    <pic:cNvPicPr/>
                  </pic:nvPicPr>
                  <pic:blipFill>
                    <a:blip r:embed="rId63"/>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3.10 — Diagramme de cas d’utilisation détaillé de l’inscription et de la validation d’un concessionnaire</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3.6 — Description du scénario UC-06</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UC-06 — Inscrire et valider un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S6 — Inscription et validation du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Représentant du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 et 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Obtenir un compte concessionnaire après contrôle du dossier et des pièces justificatives.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Formulaire public accessible et documents requis disponibles.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représentant démarre une demande d’inscription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Le représentant renseigne les données de l’entreprise. 2. Il joint les justificatifs. 3. Il soumet la demande. 4. L’Administrateur SaaS consulte le dossier. 5. Il l’approuve. 6. Le système crée le compte DEALER_ADMIN et transmet les identifiants par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SaaS rejette le dossier avec un motif, qui est communiqué au demandeur. Le représentant peut soumettre un nouveau dossier corrigé.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concessionnaire possède un compte actif, ou sa demande est rejetée avec traçabilité de la décision.</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UC-07 — Gérer un partenariat et un contrat</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S7.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7" name="Picture 57" descr="Figure 3.11 — Diagramme de cas d’utilisation détaillé du partenariat et du contrat" title="Figure 3.11 — Diagramme de cas d’utilisation détaillé du partenariat et du contrat"/>
            <wp:cNvGraphicFramePr>
              <a:graphicFrameLocks noChangeAspect="1"/>
            </wp:cNvGraphicFramePr>
            <a:graphic>
              <a:graphicData uri="http://schemas.openxmlformats.org/drawingml/2006/picture">
                <pic:pic>
                  <pic:nvPicPr>
                    <pic:cNvPr id="0" name="uc_sprint_07.png"/>
                    <pic:cNvPicPr/>
                  </pic:nvPicPr>
                  <pic:blipFill>
                    <a:blip r:embed="rId64"/>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3.11 — Diagramme de cas d’utilisation détaillé du partenariat et du contrat</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3.7 — Description du scénario UC-07</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UC-07 — Gérer un partenariat et un contrat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S7 — Partenariats et contrats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Concessionnaire ou Administrateur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Autre partie et 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Établir une relation commerciale active permettant la publication des produits dans la marketplace partenaire.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Concessionnaire approuvé, banque et store compatibles.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banque ou le concessionnaire initie une demande de partenariat.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Une partie crée la demande. 2. La partie concernée l’examine. 3. Elle l’accepte. 4. La banque prépare le contrat. 5. Le contrat est envoyé au concessionnaire. 6. Le concessionnaire l’accepte. 7. La relation commerciale devient active.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demande peut être rejetée avec un motif. Le contrat peut rester en brouillon, être refusé, expirer ou être résilié selon son cycle de vie.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 partenariat et un contrat actifs autorisent les actions de publication ; sinon, la décision est enregistrée.</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UC-08 — Gérer et publier un produit concessionnaire</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S8.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8" name="Picture 58" descr="Figure 3.12 — Diagramme de cas d’utilisation détaillé de la gestion et de la publication des produits" title="Figure 3.12 — Diagramme de cas d’utilisation détaillé de la gestion et de la publication des produits"/>
            <wp:cNvGraphicFramePr>
              <a:graphicFrameLocks noChangeAspect="1"/>
            </wp:cNvGraphicFramePr>
            <a:graphic>
              <a:graphicData uri="http://schemas.openxmlformats.org/drawingml/2006/picture">
                <pic:pic>
                  <pic:nvPicPr>
                    <pic:cNvPr id="0" name="uc_sprint_08.png"/>
                    <pic:cNvPicPr/>
                  </pic:nvPicPr>
                  <pic:blipFill>
                    <a:blip r:embed="rId65"/>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3.12 — Diagramme de cas d’utilisation détaillé de la gestion et de la publication des produits</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3.8 — Description du scénario UC-08</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UC-08 — Gérer et publier un produit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S8 — Produits, publications et suivi des dossiers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Centraliser le catalogue et rendre un produit visible dans une marketplace partenaire après validation.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Concessionnaire actif, produit renseigné, partenariat et contrat actifs pour la banque ciblée.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concessionnaire crée, met à jour ou souhaite publier un produit.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Le concessionnaire crée ou modifie la fiche produit. 2. Il gère les documents et le stock centralisé. 3. Il soumet une publication pour une banque partenaire. 4. La banque l’examine et l’approuve. 5. Le produit devient visible dans la marketplace correspondante. 6. Le concessionnaire suit les dossiers liés à ses produits.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banque rejette la publication avec un motif. Le concessionnaire corrige les informations puis soumet à nouveau. Une demande de financement rejetée ne réserve pas de stock.</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publication est approuvée ou rejetée dans le périmètre de la banque ; le produit source et son stock restent centralisés.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UC-09 — Déposer et traiter une demande de financement</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S9.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9" name="Picture 59" descr="Figure 3.13 — Diagramme de cas d’utilisation détaillé de la demande de financement" title="Figure 3.13 — Diagramme de cas d’utilisation détaillé de la demande de financement"/>
            <wp:cNvGraphicFramePr>
              <a:graphicFrameLocks noChangeAspect="1"/>
            </wp:cNvGraphicFramePr>
            <a:graphic>
              <a:graphicData uri="http://schemas.openxmlformats.org/drawingml/2006/picture">
                <pic:pic>
                  <pic:nvPicPr>
                    <pic:cNvPr id="0" name="uc_sprint_09.png"/>
                    <pic:cNvPicPr/>
                  </pic:nvPicPr>
                  <pic:blipFill>
                    <a:blip r:embed="rId66"/>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3.13 — Diagramme de cas d’utilisation détaillé de la demande de financement</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3.9 — Description du scénario UC-09</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UC-09 — Déposer et traiter une demande de financement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S9 — Parcours client et demande de financement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Client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Banque, concessionnaire et 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Constituer un dossier complet puis obtenir une décision de la banque concernée.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Marketplace et store actifs ; client inscrit et connecté ; produit éligible.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client souhaite poursuivre après la consultation ou la simulation d’un produit.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Le client crée et vérifie son compte. 2. Il consulte les produits et, si disponibles, utilise le comparateur ou le simulateur. 3. Il crée un dossier brouillon. 4. Il joint les pièces obligatoires. 5. Il soumet le dossier à l’état en attente. 6. La banque consulte le dossier et les documents. 7. Elle accepte ou rejette. 8. Le client est notifié ; un stock est réservé pour un produit concessionnaire accepté.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client complète un brouillon incomplet avant soumission. En cas de rejet, la banque saisit obligatoirement le motif. Le concessionnaire consulte uniquement le suivi et ne prend pas la décision bancaire.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dossier est accepté ou rejeté avec une décision persistée et communiquée au client.</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UC-10 — Utiliser les assistants conversationnels</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S10.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60" name="Picture 60" descr="Figure 3.14 — Diagramme de cas d’utilisation détaillé des assistants conversationnels" title="Figure 3.14 — Diagramme de cas d’utilisation détaillé des assistants conversationnels"/>
            <wp:cNvGraphicFramePr>
              <a:graphicFrameLocks noChangeAspect="1"/>
            </wp:cNvGraphicFramePr>
            <a:graphic>
              <a:graphicData uri="http://schemas.openxmlformats.org/drawingml/2006/picture">
                <pic:pic>
                  <pic:nvPicPr>
                    <pic:cNvPr id="0" name="uc_sprint_10.png"/>
                    <pic:cNvPicPr/>
                  </pic:nvPicPr>
                  <pic:blipFill>
                    <a:blip r:embed="rId67"/>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3.14 — Diagramme de cas d’utilisation détaillé des assistants conversationnels</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3.10 — Description du scénario UC-10</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UC-10 — Utiliser les assistants conversationnels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S10 — Assistants conversationnels et validation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 ou visiteur</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Gemini pour l’assistant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Faciliter la consultation analytique du SaaS et l’orientation des visiteurs dans une marketplace publique.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 authentifié pour l’assistant analytique ; module Chatbot actif pour le chatbot public.</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L’utilisateur formule une question ou envoie un message.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L’Administrateur SaaS pose une question. 2. Le système construit un contexte de données autorisé. 3. Gemini propose une requête. 4. Le validateur autorise uniquement une lecture contrôlée. 5. Le système restitue une réponse métier. Pour le chatbot, le visiteur envoie un message ; le système détecte une intention et répond uniquement à partir des données publiques du tenant.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requête analytique non conforme est refusée sans exécution. Le chatbot peut orienter vers le comparateur ou le simulateur si ces modules sont actifs.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réponse sécurisée est affichée sans modification de données ni exposition d’informations privées ou inter-tenants.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spacing w:line="360" w:lineRule="auto"/>
        <w:jc w:val="both"/>
        <w:rPr>
          <w:rFonts w:asciiTheme="majorBidi" w:hAnsiTheme="majorBidi"/>
          <w:sz w:val="24"/>
          <w:szCs w:val="24"/>
        </w:rPr>
      </w:pPr>
      <w:r>
        <w:rPr>
          <w:rFonts w:asciiTheme="majorBidi" w:hAnsiTheme="majorBidi" w:cstheme="majorBidi"/>
          <w:sz w:val="24"/>
          <w:szCs w:val="24"/>
        </w:rPr>
        <w:t>Cette modélisation relie ainsi la planification Agile, les besoins fonctionnels et les réalisations présentées dans les chapitres suivants. Elle constitue une référence pour la validation des processus métier et la recette de la plateforme.</w:t>
      </w: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pPr>
        <w:pStyle w:val="Heading1"/>
        <w:jc w:val="center"/>
        <w:rPr>
          <w:rFonts w:asciiTheme="majorBidi" w:hAnsiTheme="majorBidi"/>
          <w:b/>
          <w:bCs/>
          <w:color w:val="auto"/>
          <w:sz w:val="36"/>
          <w:szCs w:val="36"/>
        </w:rPr>
      </w:pPr>
      <w:r>
        <w:rPr>
          <w:rFonts w:asciiTheme="majorBidi" w:hAnsiTheme="majorBidi"/>
          <w:b/>
          <w:bCs/>
          <w:color w:val="auto"/>
          <w:sz w:val="36"/>
          <w:szCs w:val="36"/>
        </w:rPr>
        <w:t>Chapitre 6 : Mise en place de la démarche DevOps, du pipeline CI/CD et déploiement de Matchia sur Microsoft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1. Introduction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conception et le développement de la plateforme, une démarche de livraison et de déploiement a été mise en place afin que chaque nouvelle version puisse être construite, vérifiée et déployée de manière reproductible. L’objectif ne se limite pas à rendre l’application accessible dans le Cloud : il consiste également à automatiser les contrôles qui précèdent la mise en production.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solution repose sur GitHub pour la centralisation du code, Docker pour la conteneurisation, Jenkins pour l’orchestration du pipeline, SonarQube pour l’analyse de la qualité, Docker Hub pour la distribution des images et Microsoft Azure pour l’hébergement. Azure CLI permet enfin au pipeline d’appliquer les mises à jour sur les services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suivante présente la chaîne globale allant du push du développeur jusqu’au déploiement des conteneurs dans Microsoft Azure.</w:t>
      </w:r>
    </w:p>
    <w:p>
      <w:pPr>
        <w:keepNext/>
        <w:jc w:val="center"/>
      </w:pPr>
      <w:r>
        <w:drawing>
          <wp:inline xmlns:a="http://schemas.openxmlformats.org/drawingml/2006/main" xmlns:pic="http://schemas.openxmlformats.org/drawingml/2006/picture">
            <wp:extent cx="5349240" cy="3164967"/>
            <wp:docPr id="31" name="Picture 31"/>
            <wp:cNvGraphicFramePr>
              <a:graphicFrameLocks noChangeAspect="1"/>
            </wp:cNvGraphicFramePr>
            <a:graphic>
              <a:graphicData uri="http://schemas.openxmlformats.org/drawingml/2006/picture">
                <pic:pic>
                  <pic:nvPicPr>
                    <pic:cNvPr id="0" name="fig_6_1_cicd_pipeline.png"/>
                    <pic:cNvPicPr/>
                  </pic:nvPicPr>
                  <pic:blipFill>
                    <a:blip r:embed="rId38"/>
                    <a:stretch>
                      <a:fillRect/>
                    </a:stretch>
                  </pic:blipFill>
                  <pic:spPr>
                    <a:xfrm>
                      <a:off x="0" y="0"/>
                      <a:ext cx="5349240" cy="316496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 — Vue générale de la chaîne DevOps et CI/CD de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2. Démarche DevOps et principes de la CI/CD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Démarche DevOps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DevOps est une démarche qui associe étroitement les activités de développement et d’exploitation afin d’améliorer la collaboration, la qualité des livraisons et la fiabilité des déploiements. Dans ce projet, il se traduit par un processus automatisé qui enchaîne la construction, les tests, l’analyse du code, la création d’images Docker et le déploiement des versions validées.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2.2. Intégration et déploiement continus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L’intégration continue soumet chaque modification à des opérations automatiques de compilation, de test et de contrôle de qualité. Le déploiement continu prolonge cette vérification en construisant les images Docker, en les publiant dans un registre puis en mettant à jour les services Azure. Une étape critique en échec interrompt le pipeline et empêche le déploiement d’une version non validée.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3. Préparation et validation de la conteneurisation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d’automatiser la livraison, les différentes étapes techniques ont été mises en place et validées séparément. Les constructions du backend et du frontend, la création des images Docker et l’exécution locale des conteneurs ont d’abord été réalisées manuellement. Cette phase a permis de vérifier les Dockerfiles, les variables d’environnement, les ports exposés et la communication entre les services avant de confier leur enchaînement à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Gestion des versions avec Git et GitHub</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Git assure le suivi local des évolutions du projet tandis que GitHub centralise le dépôt distant. Le dépôt rassemble le backend Spring Boot, le frontend React, le fichier docker-compose.yml et le Jenkinsfile. Il devient ainsi le point d’entrée du pipeline : un push sur la branche suivie par Jenkins déclenche la récupération de la nouvelle version du code.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6.2 met en évidence l’organisation du dépôt et les principaux fichiers nécessaires à la construction et au déploiement de l’application.</w:t>
      </w:r>
    </w:p>
    <w:p>
      <w:pPr>
        <w:keepNext/>
        <w:jc w:val="center"/>
      </w:pPr>
      <w:r>
        <w:drawing>
          <wp:inline xmlns:a="http://schemas.openxmlformats.org/drawingml/2006/main" xmlns:pic="http://schemas.openxmlformats.org/drawingml/2006/picture">
            <wp:extent cx="5349240" cy="2823210"/>
            <wp:docPr id="32" name="Picture 32"/>
            <wp:cNvGraphicFramePr>
              <a:graphicFrameLocks noChangeAspect="1"/>
            </wp:cNvGraphicFramePr>
            <a:graphic>
              <a:graphicData uri="http://schemas.openxmlformats.org/drawingml/2006/picture">
                <pic:pic>
                  <pic:nvPicPr>
                    <pic:cNvPr id="0" name="fig_6_2_organisation_depot.png"/>
                    <pic:cNvPicPr/>
                  </pic:nvPicPr>
                  <pic:blipFill>
                    <a:blip r:embed="rId39"/>
                    <a:stretch>
                      <a:fillRect/>
                    </a:stretch>
                  </pic:blipFill>
                  <pic:spPr>
                    <a:xfrm>
                      <a:off x="0" y="0"/>
                      <a:ext cx="5349240" cy="282321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 — Organisation du dépôt GitHub de la plateforme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Conteneurisation du backend Spring Boot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est développé avec Spring Boot et Java 17. Son Dockerfile suit une construction en plusieurs étapes : Maven compile d’abord l’application, puis une image Java d’exécution plus légère ne conserve que le fichier JAR produit. Le service expose l’API REST sur le port 8081. L’image a été construite et exécutée manuellement lors de la phase initiale afin de valider le démarrage de l’API avant son intégration au pipeline.</w:t>
      </w:r>
    </w:p>
    <w:p>
      <w:pPr>
        <w:keepNext/>
        <w:jc w:val="center"/>
      </w:pPr>
      <w:r>
        <w:drawing>
          <wp:inline xmlns:a="http://schemas.openxmlformats.org/drawingml/2006/main" xmlns:pic="http://schemas.openxmlformats.org/drawingml/2006/picture">
            <wp:extent cx="3886200" cy="3857937"/>
            <wp:docPr id="33" name="Picture 33"/>
            <wp:cNvGraphicFramePr>
              <a:graphicFrameLocks noChangeAspect="1"/>
            </wp:cNvGraphicFramePr>
            <a:graphic>
              <a:graphicData uri="http://schemas.openxmlformats.org/drawingml/2006/picture">
                <pic:pic>
                  <pic:nvPicPr>
                    <pic:cNvPr id="0" name="imageBackend.png"/>
                    <pic:cNvPicPr/>
                  </pic:nvPicPr>
                  <pic:blipFill>
                    <a:blip r:embed="rId40"/>
                    <a:stretch>
                      <a:fillRect/>
                    </a:stretch>
                  </pic:blipFill>
                  <pic:spPr>
                    <a:xfrm>
                      <a:off x="0" y="0"/>
                      <a:ext cx="3886200" cy="3857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6.3 — Dockerfile utilisé pour la conteneurisation du backend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Conteneurisation du frontend React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frontend React, TypeScript et Vite est également construit en plusieurs étapes. Node.js installe les dépendances et génère les fichiers statiques de production ; ceux-ci sont ensuite servis par Nginx. La variable VITE_API_URL est fournie au moment du build afin d’associer le frontend à l’URL du backend correspondant à l’environnement cible. La construction et l’exécution de cette image ont été vérifiées manuellement avant leur automatisation.</w:t>
      </w:r>
    </w:p>
    <w:p>
      <w:pPr>
        <w:keepNext/>
        <w:jc w:val="center"/>
      </w:pPr>
      <w:r>
        <w:drawing>
          <wp:inline xmlns:a="http://schemas.openxmlformats.org/drawingml/2006/main" xmlns:pic="http://schemas.openxmlformats.org/drawingml/2006/picture">
            <wp:extent cx="5349240" cy="3256484"/>
            <wp:docPr id="34" name="Picture 34"/>
            <wp:cNvGraphicFramePr>
              <a:graphicFrameLocks noChangeAspect="1"/>
            </wp:cNvGraphicFramePr>
            <a:graphic>
              <a:graphicData uri="http://schemas.openxmlformats.org/drawingml/2006/picture">
                <pic:pic>
                  <pic:nvPicPr>
                    <pic:cNvPr id="0" name="imageFrontend.png"/>
                    <pic:cNvPicPr/>
                  </pic:nvPicPr>
                  <pic:blipFill>
                    <a:blip r:embed="rId41"/>
                    <a:stretch>
                      <a:fillRect/>
                    </a:stretch>
                  </pic:blipFill>
                  <pic:spPr>
                    <a:xfrm>
                      <a:off x="0" y="0"/>
                      <a:ext cx="5349240" cy="3256484"/>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6.4 — Dockerfile utilisé pour la conteneurisation du frontend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Orchestration locale avec Docker Compose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Compose décrit les services frontend et backend, les ports exposés, les variables d’environnement, le volume des fichiers téléversés et le réseau de communication. La commande docker compose up -d permet de démarrer un environnement local cohérent. Cette exécution manuelle a permis de vérifier que les deux conteneurs communiquent correctement et que l’application est fonctionnelle avant l’automatisation de la chaîne CI/CD.</w:t>
      </w:r>
    </w:p>
    <w:p>
      <w:pPr>
        <w:keepNext/>
        <w:jc w:val="center"/>
      </w:pPr>
      <w:r>
        <w:drawing>
          <wp:inline xmlns:a="http://schemas.openxmlformats.org/drawingml/2006/main" xmlns:pic="http://schemas.openxmlformats.org/drawingml/2006/picture">
            <wp:extent cx="3886200" cy="4083088"/>
            <wp:docPr id="35" name="Picture 35"/>
            <wp:cNvGraphicFramePr>
              <a:graphicFrameLocks noChangeAspect="1"/>
            </wp:cNvGraphicFramePr>
            <a:graphic>
              <a:graphicData uri="http://schemas.openxmlformats.org/drawingml/2006/picture">
                <pic:pic>
                  <pic:nvPicPr>
                    <pic:cNvPr id="0" name="dockercompose.png"/>
                    <pic:cNvPicPr/>
                  </pic:nvPicPr>
                  <pic:blipFill>
                    <a:blip r:embed="rId42"/>
                    <a:stretch>
                      <a:fillRect/>
                    </a:stretch>
                  </pic:blipFill>
                  <pic:spPr>
                    <a:xfrm>
                      <a:off x="0" y="0"/>
                      <a:ext cx="3886200" cy="408308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6.5 — Configuration locale des services Matchia avec Docker Compose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4. Mise en place du pipeline CI/CD avec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fois les étapes de construction et de conteneurisation validées, Jenkins a été configuré pour les enchaîner automatiquement. Le pipeline reprend donc un processus déjà testé, en garantissant qu’il est exécuté de manière identique à chaque nouvelle version du code.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Rôle de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est le composant central de la chaîne CI/CD. Exécuté dans un conteneur Docker, il récupère le code depuis GitHub et coordonne les outils nécessaires au pipeline : Maven, Node.js, Docker, SonarQube, Docker Hub et Azure CLI. Les accès aux services externes sont gérés à l’aide de credentials configurés dans Jenkins, afin de ne pas intégrer les informations d’authentification dans le dépôt source.</w:t>
      </w:r>
    </w:p>
    <w:p>
      <w:pPr>
        <w:keepNext/>
        <w:jc w:val="center"/>
      </w:pPr>
      <w:r>
        <w:drawing>
          <wp:inline xmlns:a="http://schemas.openxmlformats.org/drawingml/2006/main" xmlns:pic="http://schemas.openxmlformats.org/drawingml/2006/picture">
            <wp:extent cx="5349240" cy="3009236"/>
            <wp:docPr id="36" name="Picture 36"/>
            <wp:cNvGraphicFramePr>
              <a:graphicFrameLocks noChangeAspect="1"/>
            </wp:cNvGraphicFramePr>
            <a:graphic>
              <a:graphicData uri="http://schemas.openxmlformats.org/drawingml/2006/picture">
                <pic:pic>
                  <pic:nvPicPr>
                    <pic:cNvPr id="0" name="jenkins.png"/>
                    <pic:cNvPicPr/>
                  </pic:nvPicPr>
                  <pic:blipFill>
                    <a:blip r:embed="rId43"/>
                    <a:stretch>
                      <a:fillRect/>
                    </a:stretch>
                  </pic:blipFill>
                  <pic:spPr>
                    <a:xfrm>
                      <a:off x="0" y="0"/>
                      <a:ext cx="5349240" cy="3009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6.6 — Interface du serveur Jenkins configuré pour le projet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Pipeline as Code avec le Jenkinsfile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définition du pipeline est versionnée dans le Jenkinsfile placé à la racine du dépôt. Cette approche, appelée Pipeline as Code, garantit que les évolutions de la chaîne CI/CD sont suivies avec les évolutions applicatives. Le pipeline comporte les étapes Checkout, Build Backend, Build Frontend, Tests Backend, analyses SonarQube, Docker Build, publication des images puis déploiements du backend et du frontend sur Azure.</w:t>
      </w:r>
    </w:p>
    <w:p>
      <w:pPr>
        <w:keepNext/>
        <w:jc w:val="center"/>
      </w:pPr>
      <w:r>
        <w:drawing>
          <wp:inline xmlns:a="http://schemas.openxmlformats.org/drawingml/2006/main" xmlns:pic="http://schemas.openxmlformats.org/drawingml/2006/picture">
            <wp:extent cx="5349240" cy="2784652"/>
            <wp:docPr id="37" name="Picture 37"/>
            <wp:cNvGraphicFramePr>
              <a:graphicFrameLocks noChangeAspect="1"/>
            </wp:cNvGraphicFramePr>
            <a:graphic>
              <a:graphicData uri="http://schemas.openxmlformats.org/drawingml/2006/picture">
                <pic:pic>
                  <pic:nvPicPr>
                    <pic:cNvPr id="0" name="CréationPipeline.png"/>
                    <pic:cNvPicPr/>
                  </pic:nvPicPr>
                  <pic:blipFill>
                    <a:blip r:embed="rId44"/>
                    <a:stretch>
                      <a:fillRect/>
                    </a:stretch>
                  </pic:blipFill>
                  <pic:spPr>
                    <a:xfrm>
                      <a:off x="0" y="0"/>
                      <a:ext cx="5349240" cy="278465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6.7 — Définition du pipeline CI/CD de Matchia dans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Déclenchement automatique avec GitHub Webhook et Cloudflare Tunnel</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Webhook GitHub notifie Jenkins lorsqu’un push est réalisé sur le dépôt. Le chemin /github-webhook/ est configuré afin que Jenkins puisse recevoir cet événement et démarrer automatiquement le pipeline. Ce mécanisme évite le lancement manuel d’un build après chaque modification.</w:t>
      </w:r>
    </w:p>
    <w:p>
      <w:pPr>
        <w:keepNext/>
        <w:jc w:val="center"/>
      </w:pPr>
      <w:r>
        <w:drawing>
          <wp:inline xmlns:a="http://schemas.openxmlformats.org/drawingml/2006/main" xmlns:pic="http://schemas.openxmlformats.org/drawingml/2006/picture">
            <wp:extent cx="5349240" cy="2991185"/>
            <wp:docPr id="38" name="Picture 38"/>
            <wp:cNvGraphicFramePr>
              <a:graphicFrameLocks noChangeAspect="1"/>
            </wp:cNvGraphicFramePr>
            <a:graphic>
              <a:graphicData uri="http://schemas.openxmlformats.org/drawingml/2006/picture">
                <pic:pic>
                  <pic:nvPicPr>
                    <pic:cNvPr id="0" name="ConfigWebhookSurGithub.png"/>
                    <pic:cNvPicPr/>
                  </pic:nvPicPr>
                  <pic:blipFill>
                    <a:blip r:embed="rId45"/>
                    <a:stretch>
                      <a:fillRect/>
                    </a:stretch>
                  </pic:blipFill>
                  <pic:spPr>
                    <a:xfrm>
                      <a:off x="0" y="0"/>
                      <a:ext cx="5349240" cy="299118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6.8 — Configuration du Webhook GitHub déclenchant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étant exécuté localement pendant la phase de mise en place, son adresse localhost n’était pas accessible depuis GitHub. Un Cloudflare Tunnel a donc été utilisé pour exposer temporairement le serveur Jenkins par une adresse HTTPS publique et rediriger les événements vers l’instance locale.</w:t>
      </w:r>
    </w:p>
    <w:p>
      <w:pPr>
        <w:keepNext/>
        <w:jc w:val="center"/>
      </w:pPr>
      <w:r>
        <w:drawing>
          <wp:inline xmlns:a="http://schemas.openxmlformats.org/drawingml/2006/main" xmlns:pic="http://schemas.openxmlformats.org/drawingml/2006/picture">
            <wp:extent cx="5349240" cy="2563236"/>
            <wp:docPr id="39" name="Picture 39"/>
            <wp:cNvGraphicFramePr>
              <a:graphicFrameLocks noChangeAspect="1"/>
            </wp:cNvGraphicFramePr>
            <a:graphic>
              <a:graphicData uri="http://schemas.openxmlformats.org/drawingml/2006/picture">
                <pic:pic>
                  <pic:nvPicPr>
                    <pic:cNvPr id="0" name="CréationTunnelCloudflareTempVersJenkins.png"/>
                    <pic:cNvPicPr/>
                  </pic:nvPicPr>
                  <pic:blipFill>
                    <a:blip r:embed="rId46"/>
                    <a:stretch>
                      <a:fillRect/>
                    </a:stretch>
                  </pic:blipFill>
                  <pic:spPr>
                    <a:xfrm>
                      <a:off x="0" y="0"/>
                      <a:ext cx="5349240" cy="2563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6.9 — Exposition temporaire de Jenkins au moyen de Cloudflare Tunnel</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5. Exécution automatisée du pipeline CI/CD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pipeline est déclenché à chaque push reçu depuis GitHub. Il applique ensuite, dans un ordre contrôlé, les étapes suivantes : récupération du code, construction du backend et du frontend, exécution des tests, analyse de qualité, création des images Docker, publication dans Docker Hub et déploiement des nouvelles versions sur Microsoft Azure. En cas d’échec d’une étape critique, les étapes suivantes ne sont pas exécutées.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5.1. Récupération du code et construction des applications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checkout, Jenkins construit le backend avec Maven puis le frontend avec Node.js et npm. Le backend est préparé avec la commande Maven de construction définie dans le Jenkinsfile ; le frontend exécute npm ci puis npm run build. Lors du build de production, VITE_API_URL reçoit l’adresse publique du backend Azure afin que le frontend déployé communique avec l’API cible.</w:t>
      </w:r>
    </w:p>
    <w:p>
      <w:pPr>
        <w:keepNext/>
        <w:jc w:val="center"/>
      </w:pPr>
      <w:r>
        <w:drawing>
          <wp:inline xmlns:a="http://schemas.openxmlformats.org/drawingml/2006/main" xmlns:pic="http://schemas.openxmlformats.org/drawingml/2006/picture">
            <wp:extent cx="5349240" cy="3201653"/>
            <wp:docPr id="40" name="Picture 40"/>
            <wp:cNvGraphicFramePr>
              <a:graphicFrameLocks noChangeAspect="1"/>
            </wp:cNvGraphicFramePr>
            <a:graphic>
              <a:graphicData uri="http://schemas.openxmlformats.org/drawingml/2006/picture">
                <pic:pic>
                  <pic:nvPicPr>
                    <pic:cNvPr id="0" name="CommandeBackend.png"/>
                    <pic:cNvPicPr/>
                  </pic:nvPicPr>
                  <pic:blipFill>
                    <a:blip r:embed="rId47"/>
                    <a:stretch>
                      <a:fillRect/>
                    </a:stretch>
                  </pic:blipFill>
                  <pic:spPr>
                    <a:xfrm>
                      <a:off x="0" y="0"/>
                      <a:ext cx="5349240" cy="320165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6.10 — Exécution de la phase de construction du backend dans le pipeline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5.2. Exécution automatique des tests backend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tests backend sont exécutés avant la création des images Docker. Ils constituent une barrière de qualité : si l’exécution échoue, Jenkins interrompt le pipeline et les opérations de publication et de déploiement ne sont pas réalisées. Les rapports de couverture générés avec JaCoCo sont également utilisables lors de l’analyse SonarQube.</w:t>
      </w:r>
    </w:p>
    <w:p>
      <w:pPr>
        <w:keepNext/>
        <w:jc w:val="center"/>
      </w:pPr>
      <w:r>
        <w:drawing>
          <wp:inline xmlns:a="http://schemas.openxmlformats.org/drawingml/2006/main" xmlns:pic="http://schemas.openxmlformats.org/drawingml/2006/picture">
            <wp:extent cx="5349240" cy="3178045"/>
            <wp:docPr id="41" name="Picture 41"/>
            <wp:cNvGraphicFramePr>
              <a:graphicFrameLocks noChangeAspect="1"/>
            </wp:cNvGraphicFramePr>
            <a:graphic>
              <a:graphicData uri="http://schemas.openxmlformats.org/drawingml/2006/picture">
                <pic:pic>
                  <pic:nvPicPr>
                    <pic:cNvPr id="0" name="testBackend.png"/>
                    <pic:cNvPicPr/>
                  </pic:nvPicPr>
                  <pic:blipFill>
                    <a:blip r:embed="rId48"/>
                    <a:stretch>
                      <a:fillRect/>
                    </a:stretch>
                  </pic:blipFill>
                  <pic:spPr>
                    <a:xfrm>
                      <a:off x="0" y="0"/>
                      <a:ext cx="5349240" cy="317804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6.11 — Résultat de l’exécution automatique des tests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5.3. Analyse statique avec SonarQube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SonarQube complète les tests en réalisant une analyse statique distincte sur le backend et le frontend. Les indicateurs suivis portent notamment sur les bugs, les vulnérabilités, les duplications, les odeurs de code et la couverture disponible. Cette étape aide à détecter les défauts qui ne sont pas nécessairement révélés par les tests fonctionnels.</w:t>
      </w:r>
    </w:p>
    <w:p>
      <w:pPr>
        <w:keepNext/>
        <w:jc w:val="center"/>
      </w:pPr>
      <w:r>
        <w:drawing>
          <wp:inline xmlns:a="http://schemas.openxmlformats.org/drawingml/2006/main" xmlns:pic="http://schemas.openxmlformats.org/drawingml/2006/picture">
            <wp:extent cx="5349240" cy="3105920"/>
            <wp:docPr id="42" name="Picture 42"/>
            <wp:cNvGraphicFramePr>
              <a:graphicFrameLocks noChangeAspect="1"/>
            </wp:cNvGraphicFramePr>
            <a:graphic>
              <a:graphicData uri="http://schemas.openxmlformats.org/drawingml/2006/picture">
                <pic:pic>
                  <pic:nvPicPr>
                    <pic:cNvPr id="0" name="SonarQubeProjects.png"/>
                    <pic:cNvPicPr/>
                  </pic:nvPicPr>
                  <pic:blipFill>
                    <a:blip r:embed="rId49"/>
                    <a:stretch>
                      <a:fillRect/>
                    </a:stretch>
                  </pic:blipFill>
                  <pic:spPr>
                    <a:xfrm>
                      <a:off x="0" y="0"/>
                      <a:ext cx="5349240" cy="310592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6.12 — Projets Matchia analysés dans SonarQube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5.4. Construction et publication des images Docker</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validation des builds, des tests et de l’analyse de qualité, Jenkins utilise les Dockerfiles du projet pour construire une image dédiée au backend et une autre au frontend. Les images sont étiquetées avec le numéro du build Jenkins et avec le tag latest, ce qui assure la traçabilité entre une exécution du pipeline et l’artefact produit.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s’authentifie ensuite auprès de Docker Hub et publie les images du projet. Docker Hub joue ainsi le rôle de registre distant entre l’environnement de construction et les Azure Container Apps, qui peuvent récupérer la version à déployer.</w:t>
      </w:r>
    </w:p>
    <w:p>
      <w:pPr>
        <w:keepNext/>
        <w:jc w:val="center"/>
      </w:pPr>
      <w:r>
        <w:drawing>
          <wp:inline xmlns:a="http://schemas.openxmlformats.org/drawingml/2006/main" xmlns:pic="http://schemas.openxmlformats.org/drawingml/2006/picture">
            <wp:extent cx="5349240" cy="2988951"/>
            <wp:docPr id="43" name="Picture 43"/>
            <wp:cNvGraphicFramePr>
              <a:graphicFrameLocks noChangeAspect="1"/>
            </wp:cNvGraphicFramePr>
            <a:graphic>
              <a:graphicData uri="http://schemas.openxmlformats.org/drawingml/2006/picture">
                <pic:pic>
                  <pic:nvPicPr>
                    <pic:cNvPr id="0" name="créationRepoDockerHub.png"/>
                    <pic:cNvPicPr/>
                  </pic:nvPicPr>
                  <pic:blipFill>
                    <a:blip r:embed="rId50"/>
                    <a:stretch>
                      <a:fillRect/>
                    </a:stretch>
                  </pic:blipFill>
                  <pic:spPr>
                    <a:xfrm>
                      <a:off x="0" y="0"/>
                      <a:ext cx="5349240" cy="2988951"/>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6.13 — Registre Docker Hub utilisé pour publier les images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6. Déploiement de Matchia sur Microsoft Azure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6.1. Préparation de l’environnement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Microsoft Azure a été retenu afin d’héberger les composants de la plateforme dans un environnement Cloud. L’architecture répartit les responsabilités entre Azure Container Apps pour les conteneurs applicatifs, Azure Database for PostgreSQL pour les données métier et Azure Files pour les fichiers persistants. Cette séparation préserve les données et les fichiers lors du remplacement d’une révision de conteneur.</w:t>
      </w:r>
    </w:p>
    <w:p>
      <w:pPr>
        <w:keepNext/>
        <w:jc w:val="center"/>
      </w:pPr>
      <w:r>
        <w:drawing>
          <wp:inline xmlns:a="http://schemas.openxmlformats.org/drawingml/2006/main" xmlns:pic="http://schemas.openxmlformats.org/drawingml/2006/picture">
            <wp:extent cx="5349240" cy="4265462"/>
            <wp:docPr id="44" name="Picture 44"/>
            <wp:cNvGraphicFramePr>
              <a:graphicFrameLocks noChangeAspect="1"/>
            </wp:cNvGraphicFramePr>
            <a:graphic>
              <a:graphicData uri="http://schemas.openxmlformats.org/drawingml/2006/picture">
                <pic:pic>
                  <pic:nvPicPr>
                    <pic:cNvPr id="0" name="azure.png"/>
                    <pic:cNvPicPr/>
                  </pic:nvPicPr>
                  <pic:blipFill>
                    <a:blip r:embed="rId51"/>
                    <a:stretch>
                      <a:fillRect/>
                    </a:stretch>
                  </pic:blipFill>
                  <pic:spPr>
                    <a:xfrm>
                      <a:off x="0" y="0"/>
                      <a:ext cx="5349240" cy="426546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6.14 — Ressources Azure mises en place pour l’hébergement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6.2. Base de données PostgreSQL managée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base de données PostgreSQL est hébergée dans Azure Database for PostgreSQL Flexible Server. Le backend y accède au moyen d’une chaîne JDBC fournie par des variables d’environnement, sans inscrire les paramètres de connexion dans le code source. La migration initiale peut être réalisée avec pg_dump puis pg_restore afin de conserver la continuité des données entre l’environnement local et l’environnement Cloud.</w:t>
      </w:r>
    </w:p>
    <w:p>
      <w:pPr>
        <w:keepNext/>
        <w:jc w:val="center"/>
      </w:pPr>
      <w:r>
        <w:drawing>
          <wp:inline xmlns:a="http://schemas.openxmlformats.org/drawingml/2006/main" xmlns:pic="http://schemas.openxmlformats.org/drawingml/2006/picture">
            <wp:extent cx="5349240" cy="3381303"/>
            <wp:docPr id="45" name="Picture 45"/>
            <wp:cNvGraphicFramePr>
              <a:graphicFrameLocks noChangeAspect="1"/>
            </wp:cNvGraphicFramePr>
            <a:graphic>
              <a:graphicData uri="http://schemas.openxmlformats.org/drawingml/2006/picture">
                <pic:pic>
                  <pic:nvPicPr>
                    <pic:cNvPr id="0" name="ConfigurationDataBase.png"/>
                    <pic:cNvPicPr/>
                  </pic:nvPicPr>
                  <pic:blipFill>
                    <a:blip r:embed="rId52"/>
                    <a:stretch>
                      <a:fillRect/>
                    </a:stretch>
                  </pic:blipFill>
                  <pic:spPr>
                    <a:xfrm>
                      <a:off x="0" y="0"/>
                      <a:ext cx="5349240" cy="338130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6.15 — Configuration de la base PostgreSQL Azure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6.3. Stockage persistant avec Azure Files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conteneurs applicatifs étant remplaçables, les fichiers déposés dans leur système de fichiers interne ne doivent pas constituer le stockage permanent. Azure Files fournit donc un partage monté dans le backend, notamment pour conserver les documents justificatifs, les images de produits, les logos et les autres contenus téléversés. Le montage du partage garantit que ces fichiers demeurent disponibles après la création d’une nouvelle révision.</w:t>
      </w:r>
    </w:p>
    <w:p>
      <w:pPr>
        <w:keepNext/>
        <w:jc w:val="center"/>
      </w:pPr>
      <w:r>
        <w:drawing>
          <wp:inline xmlns:a="http://schemas.openxmlformats.org/drawingml/2006/main" xmlns:pic="http://schemas.openxmlformats.org/drawingml/2006/picture">
            <wp:extent cx="5349240" cy="3353538"/>
            <wp:docPr id="46" name="Picture 46"/>
            <wp:cNvGraphicFramePr>
              <a:graphicFrameLocks noChangeAspect="1"/>
            </wp:cNvGraphicFramePr>
            <a:graphic>
              <a:graphicData uri="http://schemas.openxmlformats.org/drawingml/2006/picture">
                <pic:pic>
                  <pic:nvPicPr>
                    <pic:cNvPr id="0" name="StockageAzureDataBase.png"/>
                    <pic:cNvPicPr/>
                  </pic:nvPicPr>
                  <pic:blipFill>
                    <a:blip r:embed="rId53"/>
                    <a:stretch>
                      <a:fillRect/>
                    </a:stretch>
                  </pic:blipFill>
                  <pic:spPr>
                    <a:xfrm>
                      <a:off x="0" y="0"/>
                      <a:ext cx="5349240" cy="335353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6.16 — Ressource Azure de stockage persistant associée à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6.4. Hébergement avec Azure Container Apps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Azure Container Apps indépendantes exécutent l’application : matchia-frontend sert les fichiers React compilés à travers Nginx, tandis que matchia-backend expose les API REST Spring Boot sur le port 8081. L’Ingress Azure rend les services accessibles en HTTPS et les deux composants peuvent être mis à jour indépendamment.</w:t>
      </w:r>
    </w:p>
    <w:p>
      <w:pPr>
        <w:keepNext/>
        <w:jc w:val="center"/>
      </w:pPr>
      <w:r>
        <w:drawing>
          <wp:inline xmlns:a="http://schemas.openxmlformats.org/drawingml/2006/main" xmlns:pic="http://schemas.openxmlformats.org/drawingml/2006/picture">
            <wp:extent cx="5349240" cy="3289937"/>
            <wp:docPr id="47" name="Picture 47"/>
            <wp:cNvGraphicFramePr>
              <a:graphicFrameLocks noChangeAspect="1"/>
            </wp:cNvGraphicFramePr>
            <a:graphic>
              <a:graphicData uri="http://schemas.openxmlformats.org/drawingml/2006/picture">
                <pic:pic>
                  <pic:nvPicPr>
                    <pic:cNvPr id="0" name="ConfigContainerFrontend.png"/>
                    <pic:cNvPicPr/>
                  </pic:nvPicPr>
                  <pic:blipFill>
                    <a:blip r:embed="rId54"/>
                    <a:stretch>
                      <a:fillRect/>
                    </a:stretch>
                  </pic:blipFill>
                  <pic:spPr>
                    <a:xfrm>
                      <a:off x="0" y="0"/>
                      <a:ext cx="5349240" cy="3289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6.17 — Configuration de l’Azure Container App du frontend</w:t>
      </w:r>
    </w:p>
    <w:p>
      <w:pPr>
        <w:keepNext/>
        <w:jc w:val="center"/>
      </w:pPr>
      <w:r>
        <w:drawing>
          <wp:inline xmlns:a="http://schemas.openxmlformats.org/drawingml/2006/main" xmlns:pic="http://schemas.openxmlformats.org/drawingml/2006/picture">
            <wp:extent cx="5349240" cy="3254325"/>
            <wp:docPr id="48" name="Picture 48"/>
            <wp:cNvGraphicFramePr>
              <a:graphicFrameLocks noChangeAspect="1"/>
            </wp:cNvGraphicFramePr>
            <a:graphic>
              <a:graphicData uri="http://schemas.openxmlformats.org/drawingml/2006/picture">
                <pic:pic>
                  <pic:nvPicPr>
                    <pic:cNvPr id="0" name="ConfigurationContainerBackend.png"/>
                    <pic:cNvPicPr/>
                  </pic:nvPicPr>
                  <pic:blipFill>
                    <a:blip r:embed="rId55"/>
                    <a:stretch>
                      <a:fillRect/>
                    </a:stretch>
                  </pic:blipFill>
                  <pic:spPr>
                    <a:xfrm>
                      <a:off x="0" y="0"/>
                      <a:ext cx="5349240" cy="325432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6.18 — Configuration de l’Azure Container App du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6.5. Déploiement automatisé avec Azure CLI</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publication réussie des images dans Docker Hub, Azure CLI assure la dernière étape du pipeline. Jenkins s’authentifie à Azure, sélectionne l’environnement configuré puis exécute une commande az containerapp update pour mettre à jour successivement la Container App du backend et celle du frontend. Une nouvelle révision est créée avec le numéro du build ; cette révision fournit une version identifiable et permet de suivre le résultat du déploiement.</w:t>
      </w:r>
    </w:p>
    <w:p>
      <w:pPr>
        <w:keepNext/>
        <w:jc w:val="center"/>
      </w:pPr>
      <w:r>
        <w:drawing>
          <wp:inline xmlns:a="http://schemas.openxmlformats.org/drawingml/2006/main" xmlns:pic="http://schemas.openxmlformats.org/drawingml/2006/picture">
            <wp:extent cx="5349240" cy="3109893"/>
            <wp:docPr id="49" name="Picture 49"/>
            <wp:cNvGraphicFramePr>
              <a:graphicFrameLocks noChangeAspect="1"/>
            </wp:cNvGraphicFramePr>
            <a:graphic>
              <a:graphicData uri="http://schemas.openxmlformats.org/drawingml/2006/picture">
                <pic:pic>
                  <pic:nvPicPr>
                    <pic:cNvPr id="0" name="DéploiementRéussi.png"/>
                    <pic:cNvPicPr/>
                  </pic:nvPicPr>
                  <pic:blipFill>
                    <a:blip r:embed="rId56"/>
                    <a:stretch>
                      <a:fillRect/>
                    </a:stretch>
                  </pic:blipFill>
                  <pic:spPr>
                    <a:xfrm>
                      <a:off x="0" y="0"/>
                      <a:ext cx="5349240" cy="310989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6.19 — Création d’une nouvelle révision Azure Container Apps après déploiement</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7. Architecture complète et validation du processus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L’architecture finale relie le poste du développeur, GitHub, le Webhook, Jenkins, SonarQube, Docker Hub et les ressources Azure. À chaque push, Jenkins récupère le code, construit les deux composants, exécute les tests et les analyses, publie les images puis demande à Azure Container Apps d’utiliser les nouvelles versions. Le backend déployé communique avec PostgreSQL Azure et avec le stockage persistant Azure Files.</w:t>
      </w:r>
    </w:p>
    <w:p>
      <w:pPr>
        <w:keepNext/>
        <w:jc w:val="center"/>
      </w:pPr>
      <w:r>
        <w:drawing>
          <wp:inline xmlns:a="http://schemas.openxmlformats.org/drawingml/2006/main" xmlns:pic="http://schemas.openxmlformats.org/drawingml/2006/picture">
            <wp:extent cx="5349240" cy="3231832"/>
            <wp:docPr id="50" name="Picture 50"/>
            <wp:cNvGraphicFramePr>
              <a:graphicFrameLocks noChangeAspect="1"/>
            </wp:cNvGraphicFramePr>
            <a:graphic>
              <a:graphicData uri="http://schemas.openxmlformats.org/drawingml/2006/picture">
                <pic:pic>
                  <pic:nvPicPr>
                    <pic:cNvPr id="0" name="fig_6_2_azure_deployment_architecture.png"/>
                    <pic:cNvPicPr/>
                  </pic:nvPicPr>
                  <pic:blipFill>
                    <a:blip r:embed="rId57"/>
                    <a:stretch>
                      <a:fillRect/>
                    </a:stretch>
                  </pic:blipFill>
                  <pic:spPr>
                    <a:xfrm>
                      <a:off x="0" y="0"/>
                      <a:ext cx="5349240" cy="323183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6.20 — Architecture globale de la chaîne CI/CD et du déploiement Cloud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7.1. Validation du processus complet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validation de la chaîne consiste à effectuer une modification contrôlée du code, à l’enregistrer puis à exécuter un git push sur la branche suivie. Le Webhook déclenche Jenkins, qui exécute successivement les étapes de construction, de test, d’analyse, de création d’images, de publication et de déploiement. La disponibilité d’une nouvelle révision des Container Apps après une exécution réussie confirme le fonctionnement de bout en bout du processus automatisé.</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8. Conclusion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a présenté la mise en place du pipeline CI/CD de Matchia, depuis la validation manuelle initiale de la conteneurisation jusqu’au déploiement automatisé sur Microsoft Azure. Jenkins orchestre désormais une chaîne complète, contrôlée et reproductible : récupération du code, construction, tests, analyse de qualité, publication des images Docker et mise à jour des services Cloud.</w:t>
      </w: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Matchia avec cas d’utilisation détaillés par sprint</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