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 xml:space="preserve">Conception, développement et déploiement d’une plateforme </w:t>
      </w:r>
      <w:proofErr w:type="spellStart"/>
      <w:r w:rsidRPr="0014520D">
        <w:rPr>
          <w:rFonts w:asciiTheme="majorBidi" w:hAnsiTheme="majorBidi" w:cstheme="majorBidi"/>
          <w:b/>
          <w:bCs/>
          <w:color w:val="000000"/>
          <w:sz w:val="36"/>
          <w:szCs w:val="36"/>
          <w:shd w:val="clear" w:color="auto" w:fill="FFFFFF"/>
        </w:rPr>
        <w:t>SaaS</w:t>
      </w:r>
      <w:proofErr w:type="spellEnd"/>
      <w:r w:rsidRPr="0014520D">
        <w:rPr>
          <w:rFonts w:asciiTheme="majorBidi" w:hAnsiTheme="majorBidi" w:cstheme="majorBidi"/>
          <w:b/>
          <w:bCs/>
          <w:color w:val="000000"/>
          <w:sz w:val="36"/>
          <w:szCs w:val="36"/>
          <w:shd w:val="clear" w:color="auto" w:fill="FFFFFF"/>
        </w:rPr>
        <w:t xml:space="preserve">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 xml:space="preserve">pour la gestion de </w:t>
      </w:r>
      <w:proofErr w:type="spellStart"/>
      <w:r w:rsidRPr="0014520D">
        <w:rPr>
          <w:rFonts w:asciiTheme="majorBidi" w:hAnsiTheme="majorBidi" w:cstheme="majorBidi"/>
          <w:b/>
          <w:bCs/>
          <w:color w:val="000000"/>
          <w:sz w:val="36"/>
          <w:szCs w:val="36"/>
          <w:shd w:val="clear" w:color="auto" w:fill="FFFFFF"/>
        </w:rPr>
        <w:t>marketplaces</w:t>
      </w:r>
      <w:proofErr w:type="spellEnd"/>
      <w:r w:rsidRPr="0014520D">
        <w:rPr>
          <w:rFonts w:asciiTheme="majorBidi" w:hAnsiTheme="majorBidi" w:cstheme="majorBidi"/>
          <w:b/>
          <w:bCs/>
          <w:color w:val="000000"/>
          <w:sz w:val="36"/>
          <w:szCs w:val="36"/>
          <w:shd w:val="clear" w:color="auto" w:fill="FFFFFF"/>
        </w:rPr>
        <w:t xml:space="preserve">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Style w:val="Heading2Cha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 xml:space="preserve">Mr. Med </w:t>
            </w:r>
            <w:proofErr w:type="spellStart"/>
            <w:r w:rsidRPr="00A34F16">
              <w:rPr>
                <w:rFonts w:asciiTheme="majorBidi" w:hAnsiTheme="majorBidi" w:cstheme="majorBidi"/>
                <w:b/>
                <w:bCs/>
                <w:sz w:val="28"/>
                <w:szCs w:val="28"/>
                <w:lang w:val="en-US"/>
              </w:rPr>
              <w:t>Anouar</w:t>
            </w:r>
            <w:proofErr w:type="spellEnd"/>
            <w:r w:rsidRPr="00A34F16">
              <w:rPr>
                <w:rFonts w:asciiTheme="majorBidi" w:hAnsiTheme="majorBidi" w:cstheme="majorBidi"/>
                <w:b/>
                <w:bCs/>
                <w:sz w:val="28"/>
                <w:szCs w:val="28"/>
                <w:lang w:val="en-US"/>
              </w:rPr>
              <w:t xml:space="preserve"> Ben </w:t>
            </w:r>
            <w:proofErr w:type="spellStart"/>
            <w:r w:rsidRPr="00A34F16">
              <w:rPr>
                <w:rFonts w:asciiTheme="majorBidi" w:hAnsiTheme="majorBidi" w:cstheme="majorBidi"/>
                <w:b/>
                <w:bCs/>
                <w:sz w:val="28"/>
                <w:szCs w:val="28"/>
                <w:lang w:val="en-US"/>
              </w:rPr>
              <w:t>Messaoud</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 xml:space="preserve">Mme. Rachida </w:t>
            </w:r>
            <w:proofErr w:type="spellStart"/>
            <w:r w:rsidRPr="004D6D77">
              <w:rPr>
                <w:rFonts w:asciiTheme="majorBidi" w:hAnsiTheme="majorBidi" w:cstheme="majorBidi"/>
                <w:b/>
                <w:bCs/>
                <w:sz w:val="28"/>
                <w:szCs w:val="28"/>
              </w:rPr>
              <w:t>Bedira</w:t>
            </w:r>
            <w:proofErr w:type="spellEnd"/>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w:t>
      </w:r>
      <w:proofErr w:type="spellStart"/>
      <w:r>
        <w:rPr>
          <w:rFonts w:asciiTheme="majorBidi" w:hAnsiTheme="majorBidi" w:cstheme="majorBidi"/>
          <w:b/>
          <w:bCs/>
          <w:sz w:val="28"/>
          <w:szCs w:val="28"/>
        </w:rPr>
        <w:t>Technology</w:t>
      </w:r>
      <w:proofErr w:type="spellEnd"/>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 xml:space="preserve">Rachida </w:t>
      </w:r>
      <w:proofErr w:type="spellStart"/>
      <w:r w:rsidRPr="00310493">
        <w:rPr>
          <w:rFonts w:asciiTheme="majorBidi" w:hAnsiTheme="majorBidi" w:cstheme="majorBidi"/>
          <w:b/>
          <w:bCs/>
          <w:sz w:val="28"/>
          <w:szCs w:val="28"/>
        </w:rPr>
        <w:t>Bedira</w:t>
      </w:r>
      <w:proofErr w:type="spellEnd"/>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B50C4E"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287498" w:history="1">
            <w:r w:rsidR="00B50C4E" w:rsidRPr="00CA2DC4">
              <w:rPr>
                <w:rStyle w:val="Hyperlink"/>
                <w:rFonts w:asciiTheme="majorBidi" w:hAnsiTheme="majorBidi"/>
                <w:b/>
                <w:bCs/>
                <w:i/>
                <w:iCs/>
                <w:noProof/>
              </w:rPr>
              <w:t>Liste des figures</w:t>
            </w:r>
            <w:r w:rsidR="00B50C4E">
              <w:rPr>
                <w:noProof/>
                <w:webHidden/>
              </w:rPr>
              <w:tab/>
            </w:r>
            <w:r w:rsidR="00B50C4E">
              <w:rPr>
                <w:noProof/>
                <w:webHidden/>
              </w:rPr>
              <w:fldChar w:fldCharType="begin"/>
            </w:r>
            <w:r w:rsidR="00B50C4E">
              <w:rPr>
                <w:noProof/>
                <w:webHidden/>
              </w:rPr>
              <w:instrText xml:space="preserve"> PAGEREF _Toc239287498 \h </w:instrText>
            </w:r>
            <w:r w:rsidR="00B50C4E">
              <w:rPr>
                <w:noProof/>
                <w:webHidden/>
              </w:rPr>
            </w:r>
            <w:r w:rsidR="00B50C4E">
              <w:rPr>
                <w:noProof/>
                <w:webHidden/>
              </w:rPr>
              <w:fldChar w:fldCharType="separate"/>
            </w:r>
            <w:r w:rsidR="00B50C4E">
              <w:rPr>
                <w:noProof/>
                <w:webHidden/>
              </w:rPr>
              <w:t>VI</w:t>
            </w:r>
            <w:r w:rsidR="00B50C4E">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499" w:history="1">
            <w:r w:rsidRPr="00CA2DC4">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_Toc239287499 \h </w:instrText>
            </w:r>
            <w:r>
              <w:rPr>
                <w:noProof/>
                <w:webHidden/>
              </w:rPr>
            </w:r>
            <w:r>
              <w:rPr>
                <w:noProof/>
                <w:webHidden/>
              </w:rPr>
              <w:fldChar w:fldCharType="separate"/>
            </w:r>
            <w:r>
              <w:rPr>
                <w:noProof/>
                <w:webHidden/>
              </w:rPr>
              <w:t>VII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0" w:history="1">
            <w:r w:rsidRPr="00CA2DC4">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_Toc239287500 \h </w:instrText>
            </w:r>
            <w:r>
              <w:rPr>
                <w:noProof/>
                <w:webHidden/>
              </w:rPr>
            </w:r>
            <w:r>
              <w:rPr>
                <w:noProof/>
                <w:webHidden/>
              </w:rPr>
              <w:fldChar w:fldCharType="separate"/>
            </w:r>
            <w:r>
              <w:rPr>
                <w:noProof/>
                <w:webHidden/>
              </w:rPr>
              <w:t>VIII</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1" w:history="1">
            <w:r w:rsidRPr="00CA2DC4">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_Toc239287501 \h </w:instrText>
            </w:r>
            <w:r>
              <w:rPr>
                <w:noProof/>
                <w:webHidden/>
              </w:rPr>
            </w:r>
            <w:r>
              <w:rPr>
                <w:noProof/>
                <w:webHidden/>
              </w:rPr>
              <w:fldChar w:fldCharType="separate"/>
            </w:r>
            <w:r>
              <w:rPr>
                <w:noProof/>
                <w:webHidden/>
              </w:rPr>
              <w:t>1</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02" w:history="1">
            <w:r w:rsidRPr="00CA2DC4">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_Toc239287502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3" w:history="1">
            <w:r w:rsidRPr="00CA2DC4">
              <w:rPr>
                <w:rStyle w:val="Hyperlink"/>
                <w:rFonts w:asciiTheme="majorBidi" w:eastAsiaTheme="majorEastAsia" w:hAnsiTheme="majorBidi" w:cstheme="majorBidi"/>
                <w:b/>
                <w:bCs/>
                <w:noProof/>
              </w:rPr>
              <w:t>1.</w:t>
            </w:r>
            <w:r>
              <w:rPr>
                <w:rFonts w:eastAsiaTheme="minorEastAsia"/>
                <w:noProof/>
                <w:lang w:eastAsia="fr-FR"/>
              </w:rPr>
              <w:tab/>
            </w:r>
            <w:r w:rsidRPr="00CA2DC4">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_Toc239287503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4" w:history="1">
            <w:r w:rsidRPr="00CA2DC4">
              <w:rPr>
                <w:rStyle w:val="Hyperlink"/>
                <w:rFonts w:asciiTheme="majorBidi" w:eastAsiaTheme="majorEastAsia" w:hAnsiTheme="majorBidi" w:cstheme="majorBidi"/>
                <w:b/>
                <w:bCs/>
                <w:noProof/>
              </w:rPr>
              <w:t>2.</w:t>
            </w:r>
            <w:r>
              <w:rPr>
                <w:rFonts w:eastAsiaTheme="minorEastAsia"/>
                <w:noProof/>
                <w:lang w:eastAsia="fr-FR"/>
              </w:rPr>
              <w:tab/>
            </w:r>
            <w:r w:rsidRPr="00CA2DC4">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_Toc239287504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5" w:history="1">
            <w:r w:rsidRPr="00CA2DC4">
              <w:rPr>
                <w:rStyle w:val="Hyperlink"/>
                <w:rFonts w:asciiTheme="majorBidi" w:hAnsiTheme="majorBidi" w:cstheme="majorBidi"/>
                <w:b/>
                <w:bCs/>
                <w:noProof/>
              </w:rPr>
              <w:t>2.1.</w:t>
            </w:r>
            <w:r>
              <w:rPr>
                <w:rFonts w:eastAsiaTheme="minorEastAsia"/>
                <w:noProof/>
                <w:lang w:eastAsia="fr-FR"/>
              </w:rPr>
              <w:tab/>
            </w:r>
            <w:r w:rsidRPr="00CA2DC4">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_Toc239287505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6" w:history="1">
            <w:r w:rsidRPr="00CA2DC4">
              <w:rPr>
                <w:rStyle w:val="Hyperlink"/>
                <w:rFonts w:asciiTheme="majorBidi" w:hAnsiTheme="majorBidi" w:cstheme="majorBidi"/>
                <w:b/>
                <w:bCs/>
                <w:noProof/>
              </w:rPr>
              <w:t>2.2.</w:t>
            </w:r>
            <w:r>
              <w:rPr>
                <w:rFonts w:eastAsiaTheme="minorEastAsia"/>
                <w:noProof/>
                <w:lang w:eastAsia="fr-FR"/>
              </w:rPr>
              <w:tab/>
            </w:r>
            <w:r w:rsidRPr="00CA2DC4">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_Toc239287506 \h </w:instrText>
            </w:r>
            <w:r>
              <w:rPr>
                <w:noProof/>
                <w:webHidden/>
              </w:rPr>
            </w:r>
            <w:r>
              <w:rPr>
                <w:noProof/>
                <w:webHidden/>
              </w:rPr>
              <w:fldChar w:fldCharType="separate"/>
            </w:r>
            <w:r>
              <w:rPr>
                <w:noProof/>
                <w:webHidden/>
              </w:rPr>
              <w:t>2</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7" w:history="1">
            <w:r w:rsidRPr="00CA2DC4">
              <w:rPr>
                <w:rStyle w:val="Hyperlink"/>
                <w:rFonts w:asciiTheme="majorBidi" w:hAnsiTheme="majorBidi" w:cstheme="majorBidi"/>
                <w:b/>
                <w:bCs/>
                <w:noProof/>
              </w:rPr>
              <w:t>2.3.</w:t>
            </w:r>
            <w:r>
              <w:rPr>
                <w:rFonts w:eastAsiaTheme="minorEastAsia"/>
                <w:noProof/>
                <w:lang w:eastAsia="fr-FR"/>
              </w:rPr>
              <w:tab/>
            </w:r>
            <w:r w:rsidRPr="00CA2DC4">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_Toc239287507 \h </w:instrText>
            </w:r>
            <w:r>
              <w:rPr>
                <w:noProof/>
                <w:webHidden/>
              </w:rPr>
            </w:r>
            <w:r>
              <w:rPr>
                <w:noProof/>
                <w:webHidden/>
              </w:rPr>
              <w:fldChar w:fldCharType="separate"/>
            </w:r>
            <w:r>
              <w:rPr>
                <w:noProof/>
                <w:webHidden/>
              </w:rPr>
              <w:t>3</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08" w:history="1">
            <w:r w:rsidRPr="00CA2DC4">
              <w:rPr>
                <w:rStyle w:val="Hyperlink"/>
                <w:rFonts w:asciiTheme="majorBidi" w:eastAsiaTheme="majorEastAsia" w:hAnsiTheme="majorBidi" w:cstheme="majorBidi"/>
                <w:b/>
                <w:bCs/>
                <w:noProof/>
              </w:rPr>
              <w:t>3.</w:t>
            </w:r>
            <w:r>
              <w:rPr>
                <w:rFonts w:eastAsiaTheme="minorEastAsia"/>
                <w:noProof/>
                <w:lang w:eastAsia="fr-FR"/>
              </w:rPr>
              <w:tab/>
            </w:r>
            <w:r w:rsidRPr="00CA2DC4">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_Toc239287508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09" w:history="1">
            <w:r w:rsidRPr="00CA2DC4">
              <w:rPr>
                <w:rStyle w:val="Hyperlink"/>
                <w:rFonts w:asciiTheme="majorBidi" w:hAnsiTheme="majorBidi" w:cstheme="majorBidi"/>
                <w:b/>
                <w:bCs/>
                <w:noProof/>
              </w:rPr>
              <w:t>3.1.</w:t>
            </w:r>
            <w:r>
              <w:rPr>
                <w:rFonts w:eastAsiaTheme="minorEastAsia"/>
                <w:noProof/>
                <w:lang w:eastAsia="fr-FR"/>
              </w:rPr>
              <w:tab/>
            </w:r>
            <w:r w:rsidRPr="00CA2DC4">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_Toc239287509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0" w:history="1">
            <w:r w:rsidRPr="00CA2DC4">
              <w:rPr>
                <w:rStyle w:val="Hyperlink"/>
                <w:rFonts w:asciiTheme="majorBidi" w:hAnsiTheme="majorBidi" w:cstheme="majorBidi"/>
                <w:b/>
                <w:bCs/>
                <w:noProof/>
              </w:rPr>
              <w:t>3.2.</w:t>
            </w:r>
            <w:r>
              <w:rPr>
                <w:rFonts w:eastAsiaTheme="minorEastAsia"/>
                <w:noProof/>
                <w:lang w:eastAsia="fr-FR"/>
              </w:rPr>
              <w:tab/>
            </w:r>
            <w:r w:rsidRPr="00CA2DC4">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_Toc239287510 \h </w:instrText>
            </w:r>
            <w:r>
              <w:rPr>
                <w:noProof/>
                <w:webHidden/>
              </w:rPr>
            </w:r>
            <w:r>
              <w:rPr>
                <w:noProof/>
                <w:webHidden/>
              </w:rPr>
              <w:fldChar w:fldCharType="separate"/>
            </w:r>
            <w:r>
              <w:rPr>
                <w:noProof/>
                <w:webHidden/>
              </w:rPr>
              <w:t>4</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1" w:history="1">
            <w:r w:rsidRPr="00CA2DC4">
              <w:rPr>
                <w:rStyle w:val="Hyperlink"/>
                <w:rFonts w:asciiTheme="majorBidi" w:hAnsiTheme="majorBidi" w:cstheme="majorBidi"/>
                <w:b/>
                <w:bCs/>
                <w:noProof/>
              </w:rPr>
              <w:t>3.3.</w:t>
            </w:r>
            <w:r>
              <w:rPr>
                <w:rFonts w:eastAsiaTheme="minorEastAsia"/>
                <w:noProof/>
                <w:lang w:eastAsia="fr-FR"/>
              </w:rPr>
              <w:tab/>
            </w:r>
            <w:r w:rsidRPr="00CA2DC4">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_Toc239287511 \h </w:instrText>
            </w:r>
            <w:r>
              <w:rPr>
                <w:noProof/>
                <w:webHidden/>
              </w:rPr>
            </w:r>
            <w:r>
              <w:rPr>
                <w:noProof/>
                <w:webHidden/>
              </w:rPr>
              <w:fldChar w:fldCharType="separate"/>
            </w:r>
            <w:r>
              <w:rPr>
                <w:noProof/>
                <w:webHidden/>
              </w:rPr>
              <w:t>5</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2" w:history="1">
            <w:r w:rsidRPr="00CA2DC4">
              <w:rPr>
                <w:rStyle w:val="Hyperlink"/>
                <w:rFonts w:asciiTheme="majorBidi" w:hAnsiTheme="majorBidi" w:cstheme="majorBidi"/>
                <w:b/>
                <w:bCs/>
                <w:noProof/>
              </w:rPr>
              <w:t>3.4.</w:t>
            </w:r>
            <w:r>
              <w:rPr>
                <w:rFonts w:eastAsiaTheme="minorEastAsia"/>
                <w:noProof/>
                <w:lang w:eastAsia="fr-FR"/>
              </w:rPr>
              <w:tab/>
            </w:r>
            <w:r w:rsidRPr="00CA2DC4">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_Toc239287512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3" w:history="1">
            <w:r w:rsidRPr="00CA2DC4">
              <w:rPr>
                <w:rStyle w:val="Hyperlink"/>
                <w:rFonts w:asciiTheme="majorBidi" w:eastAsiaTheme="majorEastAsia" w:hAnsiTheme="majorBidi" w:cstheme="majorBidi"/>
                <w:b/>
                <w:bCs/>
                <w:noProof/>
              </w:rPr>
              <w:t>4.</w:t>
            </w:r>
            <w:r>
              <w:rPr>
                <w:rFonts w:eastAsiaTheme="minorEastAsia"/>
                <w:noProof/>
                <w:lang w:eastAsia="fr-FR"/>
              </w:rPr>
              <w:tab/>
            </w:r>
            <w:r w:rsidRPr="00CA2DC4">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_Toc239287513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4" w:history="1">
            <w:r w:rsidRPr="00CA2DC4">
              <w:rPr>
                <w:rStyle w:val="Hyperlink"/>
                <w:rFonts w:asciiTheme="majorBidi" w:hAnsiTheme="majorBidi" w:cstheme="majorBidi"/>
                <w:b/>
                <w:bCs/>
                <w:noProof/>
              </w:rPr>
              <w:t>4.1.</w:t>
            </w:r>
            <w:r>
              <w:rPr>
                <w:rFonts w:eastAsiaTheme="minorEastAsia"/>
                <w:noProof/>
                <w:lang w:eastAsia="fr-FR"/>
              </w:rPr>
              <w:tab/>
            </w:r>
            <w:r w:rsidRPr="00CA2DC4">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_Toc239287514 \h </w:instrText>
            </w:r>
            <w:r>
              <w:rPr>
                <w:noProof/>
                <w:webHidden/>
              </w:rPr>
            </w:r>
            <w:r>
              <w:rPr>
                <w:noProof/>
                <w:webHidden/>
              </w:rPr>
              <w:fldChar w:fldCharType="separate"/>
            </w:r>
            <w:r>
              <w:rPr>
                <w:noProof/>
                <w:webHidden/>
              </w:rPr>
              <w:t>6</w:t>
            </w:r>
            <w:r>
              <w:rPr>
                <w:noProof/>
                <w:webHidden/>
              </w:rPr>
              <w:fldChar w:fldCharType="end"/>
            </w:r>
          </w:hyperlink>
        </w:p>
        <w:p w:rsidR="00B50C4E" w:rsidRDefault="00B50C4E">
          <w:pPr>
            <w:pStyle w:val="TOC3"/>
            <w:tabs>
              <w:tab w:val="left" w:pos="1100"/>
              <w:tab w:val="right" w:leader="dot" w:pos="9062"/>
            </w:tabs>
            <w:rPr>
              <w:rFonts w:eastAsiaTheme="minorEastAsia"/>
              <w:noProof/>
              <w:lang w:eastAsia="fr-FR"/>
            </w:rPr>
          </w:pPr>
          <w:hyperlink w:anchor="_Toc239287515" w:history="1">
            <w:r w:rsidRPr="00CA2DC4">
              <w:rPr>
                <w:rStyle w:val="Hyperlink"/>
                <w:rFonts w:asciiTheme="majorBidi" w:hAnsiTheme="majorBidi" w:cstheme="majorBidi"/>
                <w:b/>
                <w:bCs/>
                <w:noProof/>
              </w:rPr>
              <w:t>4.2.</w:t>
            </w:r>
            <w:r>
              <w:rPr>
                <w:rFonts w:eastAsiaTheme="minorEastAsia"/>
                <w:noProof/>
                <w:lang w:eastAsia="fr-FR"/>
              </w:rPr>
              <w:tab/>
            </w:r>
            <w:r w:rsidRPr="00CA2DC4">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_Toc239287515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2"/>
            <w:tabs>
              <w:tab w:val="left" w:pos="660"/>
              <w:tab w:val="right" w:leader="dot" w:pos="9062"/>
            </w:tabs>
            <w:rPr>
              <w:rFonts w:eastAsiaTheme="minorEastAsia"/>
              <w:noProof/>
              <w:lang w:eastAsia="fr-FR"/>
            </w:rPr>
          </w:pPr>
          <w:hyperlink w:anchor="_Toc239287516" w:history="1">
            <w:r w:rsidRPr="00CA2DC4">
              <w:rPr>
                <w:rStyle w:val="Hyperlink"/>
                <w:rFonts w:asciiTheme="majorBidi" w:eastAsiaTheme="majorEastAsia" w:hAnsiTheme="majorBidi" w:cstheme="majorBidi"/>
                <w:b/>
                <w:bCs/>
                <w:noProof/>
              </w:rPr>
              <w:t>5.</w:t>
            </w:r>
            <w:r>
              <w:rPr>
                <w:rFonts w:eastAsiaTheme="minorEastAsia"/>
                <w:noProof/>
                <w:lang w:eastAsia="fr-FR"/>
              </w:rPr>
              <w:tab/>
            </w:r>
            <w:r w:rsidRPr="00CA2DC4">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_Toc239287516 \h </w:instrText>
            </w:r>
            <w:r>
              <w:rPr>
                <w:noProof/>
                <w:webHidden/>
              </w:rPr>
            </w:r>
            <w:r>
              <w:rPr>
                <w:noProof/>
                <w:webHidden/>
              </w:rPr>
              <w:fldChar w:fldCharType="separate"/>
            </w:r>
            <w:r>
              <w:rPr>
                <w:noProof/>
                <w:webHidden/>
              </w:rPr>
              <w:t>7</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17" w:history="1">
            <w:r w:rsidRPr="00CA2DC4">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_Toc239287517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8"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_Toc239287518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19" w:history="1">
            <w:r w:rsidRPr="00CA2DC4">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_Toc239287519 \h </w:instrText>
            </w:r>
            <w:r>
              <w:rPr>
                <w:noProof/>
                <w:webHidden/>
              </w:rPr>
            </w:r>
            <w:r>
              <w:rPr>
                <w:noProof/>
                <w:webHidden/>
              </w:rPr>
              <w:fldChar w:fldCharType="separate"/>
            </w:r>
            <w:r>
              <w:rPr>
                <w:noProof/>
                <w:webHidden/>
              </w:rPr>
              <w:t>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0" w:history="1">
            <w:r w:rsidRPr="00CA2DC4">
              <w:rPr>
                <w:rStyle w:val="Hyperlink"/>
                <w:rFonts w:asciiTheme="majorBidi" w:hAnsiTheme="majorBidi"/>
                <w:b/>
                <w:bCs/>
                <w:noProof/>
              </w:rPr>
              <w:t>3. Concepts du SaaS et de la multi-tenance</w:t>
            </w:r>
            <w:r>
              <w:rPr>
                <w:noProof/>
                <w:webHidden/>
              </w:rPr>
              <w:tab/>
            </w:r>
            <w:r>
              <w:rPr>
                <w:noProof/>
                <w:webHidden/>
              </w:rPr>
              <w:fldChar w:fldCharType="begin"/>
            </w:r>
            <w:r>
              <w:rPr>
                <w:noProof/>
                <w:webHidden/>
              </w:rPr>
              <w:instrText xml:space="preserve"> PAGEREF _Toc239287520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1" w:history="1">
            <w:r w:rsidRPr="00CA2DC4">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_Toc239287521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2" w:history="1">
            <w:r w:rsidRPr="00CA2DC4">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_Toc239287522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3" w:history="1">
            <w:r w:rsidRPr="00CA2DC4">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_Toc239287523 \h </w:instrText>
            </w:r>
            <w:r>
              <w:rPr>
                <w:noProof/>
                <w:webHidden/>
              </w:rPr>
            </w:r>
            <w:r>
              <w:rPr>
                <w:noProof/>
                <w:webHidden/>
              </w:rPr>
              <w:fldChar w:fldCharType="separate"/>
            </w:r>
            <w:r>
              <w:rPr>
                <w:noProof/>
                <w:webHidden/>
              </w:rPr>
              <w:t>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4" w:history="1">
            <w:r w:rsidRPr="00CA2DC4">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_Toc239287524 \h </w:instrText>
            </w:r>
            <w:r>
              <w:rPr>
                <w:noProof/>
                <w:webHidden/>
              </w:rPr>
            </w:r>
            <w:r>
              <w:rPr>
                <w:noProof/>
                <w:webHidden/>
              </w:rPr>
              <w:fldChar w:fldCharType="separate"/>
            </w:r>
            <w:r>
              <w:rPr>
                <w:noProof/>
                <w:webHidden/>
              </w:rPr>
              <w:t>11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25" w:history="1">
            <w:r w:rsidRPr="00CA2DC4">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_Toc239287525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6" w:history="1">
            <w:r w:rsidRPr="00CA2DC4">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_Toc239287526 \h </w:instrText>
            </w:r>
            <w:r>
              <w:rPr>
                <w:noProof/>
                <w:webHidden/>
              </w:rPr>
            </w:r>
            <w:r>
              <w:rPr>
                <w:noProof/>
                <w:webHidden/>
              </w:rPr>
              <w:fldChar w:fldCharType="separate"/>
            </w:r>
            <w:r>
              <w:rPr>
                <w:noProof/>
                <w:webHidden/>
              </w:rPr>
              <w:t>12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7" w:history="1">
            <w:r w:rsidRPr="00CA2DC4">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_Toc239287527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8" w:history="1">
            <w:r w:rsidRPr="00CA2DC4">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_Toc239287528 \h </w:instrText>
            </w:r>
            <w:r>
              <w:rPr>
                <w:noProof/>
                <w:webHidden/>
              </w:rPr>
            </w:r>
            <w:r>
              <w:rPr>
                <w:noProof/>
                <w:webHidden/>
              </w:rPr>
              <w:fldChar w:fldCharType="separate"/>
            </w:r>
            <w:r>
              <w:rPr>
                <w:noProof/>
                <w:webHidden/>
              </w:rPr>
              <w:t>13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29" w:history="1">
            <w:r w:rsidRPr="00CA2DC4">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_Toc239287529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0" w:history="1">
            <w:r w:rsidRPr="00CA2DC4">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_Toc239287530 \h </w:instrText>
            </w:r>
            <w:r>
              <w:rPr>
                <w:noProof/>
                <w:webHidden/>
              </w:rPr>
            </w:r>
            <w:r>
              <w:rPr>
                <w:noProof/>
                <w:webHidden/>
              </w:rPr>
              <w:fldChar w:fldCharType="separate"/>
            </w:r>
            <w:r>
              <w:rPr>
                <w:noProof/>
                <w:webHidden/>
              </w:rPr>
              <w:t>14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1" w:history="1">
            <w:r w:rsidRPr="00CA2DC4">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_Toc239287531 \h </w:instrText>
            </w:r>
            <w:r>
              <w:rPr>
                <w:noProof/>
                <w:webHidden/>
              </w:rPr>
            </w:r>
            <w:r>
              <w:rPr>
                <w:noProof/>
                <w:webHidden/>
              </w:rPr>
              <w:fldChar w:fldCharType="separate"/>
            </w:r>
            <w:r>
              <w:rPr>
                <w:noProof/>
                <w:webHidden/>
              </w:rPr>
              <w:t>15</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2" w:history="1">
            <w:r w:rsidRPr="00CA2DC4">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_Toc239287532 \h </w:instrText>
            </w:r>
            <w:r>
              <w:rPr>
                <w:noProof/>
                <w:webHidden/>
              </w:rPr>
            </w:r>
            <w:r>
              <w:rPr>
                <w:noProof/>
                <w:webHidden/>
              </w:rPr>
              <w:fldChar w:fldCharType="separate"/>
            </w:r>
            <w:r>
              <w:rPr>
                <w:noProof/>
                <w:webHidden/>
              </w:rPr>
              <w:t>16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33" w:history="1">
            <w:r w:rsidRPr="00CA2DC4">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_Toc239287533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4"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_Toc239287534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5" w:history="1">
            <w:r w:rsidRPr="00CA2DC4">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_Toc239287535 \h </w:instrText>
            </w:r>
            <w:r>
              <w:rPr>
                <w:noProof/>
                <w:webHidden/>
              </w:rPr>
            </w:r>
            <w:r>
              <w:rPr>
                <w:noProof/>
                <w:webHidden/>
              </w:rPr>
              <w:fldChar w:fldCharType="separate"/>
            </w:r>
            <w:r>
              <w:rPr>
                <w:noProof/>
                <w:webHidden/>
              </w:rPr>
              <w:t>18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36" w:history="1">
            <w:r w:rsidRPr="00CA2DC4">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_Toc239287536 \h </w:instrText>
            </w:r>
            <w:r>
              <w:rPr>
                <w:noProof/>
                <w:webHidden/>
              </w:rPr>
            </w:r>
            <w:r>
              <w:rPr>
                <w:noProof/>
                <w:webHidden/>
              </w:rPr>
              <w:fldChar w:fldCharType="separate"/>
            </w:r>
            <w:r>
              <w:rPr>
                <w:noProof/>
                <w:webHidden/>
              </w:rPr>
              <w:t>19</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7" w:history="1">
            <w:r w:rsidRPr="00CA2DC4">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_Toc239287537 \h </w:instrText>
            </w:r>
            <w:r>
              <w:rPr>
                <w:noProof/>
                <w:webHidden/>
              </w:rPr>
            </w:r>
            <w:r>
              <w:rPr>
                <w:noProof/>
                <w:webHidden/>
              </w:rPr>
              <w:fldChar w:fldCharType="separate"/>
            </w:r>
            <w:r>
              <w:rPr>
                <w:noProof/>
                <w:webHidden/>
              </w:rPr>
              <w:t>20</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8" w:history="1">
            <w:r w:rsidRPr="00CA2DC4">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_Toc239287538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39" w:history="1">
            <w:r w:rsidRPr="00CA2DC4">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_Toc239287539 \h </w:instrText>
            </w:r>
            <w:r>
              <w:rPr>
                <w:noProof/>
                <w:webHidden/>
              </w:rPr>
            </w:r>
            <w:r>
              <w:rPr>
                <w:noProof/>
                <w:webHidden/>
              </w:rPr>
              <w:fldChar w:fldCharType="separate"/>
            </w:r>
            <w:r>
              <w:rPr>
                <w:noProof/>
                <w:webHidden/>
              </w:rPr>
              <w:t>21</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0" w:history="1">
            <w:r w:rsidRPr="00CA2DC4">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_Toc239287540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1" w:history="1">
            <w:r w:rsidRPr="00CA2DC4">
              <w:rPr>
                <w:rStyle w:val="Hyperlink"/>
                <w:rFonts w:asciiTheme="majorBidi" w:eastAsiaTheme="majorEastAsia" w:hAnsiTheme="majorBidi" w:cstheme="majorBidi"/>
                <w:b/>
                <w:bCs/>
                <w:noProof/>
              </w:rPr>
              <w:t>4. Back-office SaaS : traitement et supervision de la plateforme</w:t>
            </w:r>
            <w:r>
              <w:rPr>
                <w:noProof/>
                <w:webHidden/>
              </w:rPr>
              <w:tab/>
            </w:r>
            <w:r>
              <w:rPr>
                <w:noProof/>
                <w:webHidden/>
              </w:rPr>
              <w:fldChar w:fldCharType="begin"/>
            </w:r>
            <w:r>
              <w:rPr>
                <w:noProof/>
                <w:webHidden/>
              </w:rPr>
              <w:instrText xml:space="preserve"> PAGEREF _Toc239287541 \h </w:instrText>
            </w:r>
            <w:r>
              <w:rPr>
                <w:noProof/>
                <w:webHidden/>
              </w:rPr>
            </w:r>
            <w:r>
              <w:rPr>
                <w:noProof/>
                <w:webHidden/>
              </w:rPr>
              <w:fldChar w:fldCharType="separate"/>
            </w:r>
            <w:r>
              <w:rPr>
                <w:noProof/>
                <w:webHidden/>
              </w:rPr>
              <w:t>22</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2" w:history="1">
            <w:r w:rsidRPr="00CA2DC4">
              <w:rPr>
                <w:rStyle w:val="Hyperlink"/>
                <w:rFonts w:asciiTheme="majorBidi" w:hAnsiTheme="majorBidi"/>
                <w:b/>
                <w:bCs/>
                <w:noProof/>
              </w:rPr>
              <w:t>4.1. Traitement d’une demande de marketplace</w:t>
            </w:r>
            <w:r>
              <w:rPr>
                <w:noProof/>
                <w:webHidden/>
              </w:rPr>
              <w:tab/>
            </w:r>
            <w:r>
              <w:rPr>
                <w:noProof/>
                <w:webHidden/>
              </w:rPr>
              <w:fldChar w:fldCharType="begin"/>
            </w:r>
            <w:r>
              <w:rPr>
                <w:noProof/>
                <w:webHidden/>
              </w:rPr>
              <w:instrText xml:space="preserve"> PAGEREF _Toc239287542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3"/>
            <w:tabs>
              <w:tab w:val="right" w:leader="dot" w:pos="9062"/>
            </w:tabs>
            <w:rPr>
              <w:rFonts w:eastAsiaTheme="minorEastAsia"/>
              <w:noProof/>
              <w:lang w:eastAsia="fr-FR"/>
            </w:rPr>
          </w:pPr>
          <w:hyperlink w:anchor="_Toc239287543" w:history="1">
            <w:r w:rsidRPr="00CA2DC4">
              <w:rPr>
                <w:rStyle w:val="Hyperlink"/>
                <w:rFonts w:asciiTheme="majorBidi" w:hAnsiTheme="majorBidi"/>
                <w:b/>
                <w:bCs/>
                <w:noProof/>
              </w:rPr>
              <w:t>4.2. Approbation et déclenchement du paiement</w:t>
            </w:r>
            <w:r>
              <w:rPr>
                <w:noProof/>
                <w:webHidden/>
              </w:rPr>
              <w:tab/>
            </w:r>
            <w:r>
              <w:rPr>
                <w:noProof/>
                <w:webHidden/>
              </w:rPr>
              <w:fldChar w:fldCharType="begin"/>
            </w:r>
            <w:r>
              <w:rPr>
                <w:noProof/>
                <w:webHidden/>
              </w:rPr>
              <w:instrText xml:space="preserve"> PAGEREF _Toc239287543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4" w:history="1">
            <w:r w:rsidRPr="00CA2DC4">
              <w:rPr>
                <w:rStyle w:val="Hyperlink"/>
                <w:rFonts w:asciiTheme="majorBidi" w:hAnsiTheme="majorBidi"/>
                <w:b/>
                <w:bCs/>
                <w:noProof/>
              </w:rPr>
              <w:t>4.3. Gestion du paiement et activation de la marketplace</w:t>
            </w:r>
            <w:r>
              <w:rPr>
                <w:noProof/>
                <w:webHidden/>
              </w:rPr>
              <w:tab/>
            </w:r>
            <w:r>
              <w:rPr>
                <w:noProof/>
                <w:webHidden/>
              </w:rPr>
              <w:fldChar w:fldCharType="begin"/>
            </w:r>
            <w:r>
              <w:rPr>
                <w:noProof/>
                <w:webHidden/>
              </w:rPr>
              <w:instrText xml:space="preserve"> PAGEREF _Toc239287544 \h </w:instrText>
            </w:r>
            <w:r>
              <w:rPr>
                <w:noProof/>
                <w:webHidden/>
              </w:rPr>
            </w:r>
            <w:r>
              <w:rPr>
                <w:noProof/>
                <w:webHidden/>
              </w:rPr>
              <w:fldChar w:fldCharType="separate"/>
            </w:r>
            <w:r>
              <w:rPr>
                <w:noProof/>
                <w:webHidden/>
              </w:rPr>
              <w:t>23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5" w:history="1">
            <w:r w:rsidRPr="00CA2DC4">
              <w:rPr>
                <w:rStyle w:val="Hyperlink"/>
                <w:rFonts w:asciiTheme="majorBidi" w:hAnsiTheme="majorBidi"/>
                <w:b/>
                <w:bCs/>
                <w:noProof/>
              </w:rPr>
              <w:t>4.4. Gestion des abonnements</w:t>
            </w:r>
            <w:r>
              <w:rPr>
                <w:noProof/>
                <w:webHidden/>
              </w:rPr>
              <w:tab/>
            </w:r>
            <w:r>
              <w:rPr>
                <w:noProof/>
                <w:webHidden/>
              </w:rPr>
              <w:fldChar w:fldCharType="begin"/>
            </w:r>
            <w:r>
              <w:rPr>
                <w:noProof/>
                <w:webHidden/>
              </w:rPr>
              <w:instrText xml:space="preserve"> PAGEREF _Toc239287545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6" w:history="1">
            <w:r w:rsidRPr="00CA2DC4">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_Toc239287546 \h </w:instrText>
            </w:r>
            <w:r>
              <w:rPr>
                <w:noProof/>
                <w:webHidden/>
              </w:rPr>
            </w:r>
            <w:r>
              <w:rPr>
                <w:noProof/>
                <w:webHidden/>
              </w:rPr>
              <w:fldChar w:fldCharType="separate"/>
            </w:r>
            <w:r>
              <w:rPr>
                <w:noProof/>
                <w:webHidden/>
              </w:rPr>
              <w:t>24</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7" w:history="1">
            <w:r w:rsidRPr="00CA2DC4">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_Toc239287547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8" w:history="1">
            <w:r w:rsidRPr="00CA2DC4">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_Toc239287548 \h </w:instrText>
            </w:r>
            <w:r>
              <w:rPr>
                <w:noProof/>
                <w:webHidden/>
              </w:rPr>
            </w:r>
            <w:r>
              <w:rPr>
                <w:noProof/>
                <w:webHidden/>
              </w:rPr>
              <w:fldChar w:fldCharType="separate"/>
            </w:r>
            <w:r>
              <w:rPr>
                <w:noProof/>
                <w:webHidden/>
              </w:rPr>
              <w:t>25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49" w:history="1">
            <w:r w:rsidRPr="00CA2DC4">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_Toc239287549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0" w:history="1">
            <w:r w:rsidRPr="00CA2DC4">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_Toc239287550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1" w:history="1">
            <w:r w:rsidRPr="00CA2DC4">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_Toc239287551 \h </w:instrText>
            </w:r>
            <w:r>
              <w:rPr>
                <w:noProof/>
                <w:webHidden/>
              </w:rPr>
            </w:r>
            <w:r>
              <w:rPr>
                <w:noProof/>
                <w:webHidden/>
              </w:rPr>
              <w:fldChar w:fldCharType="separate"/>
            </w:r>
            <w:r>
              <w:rPr>
                <w:noProof/>
                <w:webHidden/>
              </w:rPr>
              <w:t>26</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52" w:history="1">
            <w:r w:rsidRPr="00CA2DC4">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_Toc239287552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3"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_Toc239287553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4" w:history="1">
            <w:r w:rsidRPr="00CA2DC4">
              <w:rPr>
                <w:rStyle w:val="Hyperlink"/>
                <w:rFonts w:asciiTheme="majorBidi" w:hAnsiTheme="majorBidi" w:cstheme="majorBidi"/>
                <w:noProof/>
              </w:rPr>
              <w:t>Ce chapitre a présenté les différentes fonctionnalités mises en œuvre pour les Concessionnaires et les Clients</w:t>
            </w:r>
            <w:r w:rsidRPr="00CA2DC4">
              <w:rPr>
                <w:rStyle w:val="Hyperlink"/>
                <w:rFonts w:asciiTheme="majorBidi" w:hAnsiTheme="majorBidi" w:cstheme="majorBidi"/>
                <w:b/>
                <w:bCs/>
                <w:noProof/>
              </w:rPr>
              <w:t>,</w:t>
            </w:r>
            <w:r w:rsidRPr="00CA2DC4">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_Toc239287554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5" w:history="1">
            <w:r w:rsidRPr="00CA2DC4">
              <w:rPr>
                <w:rStyle w:val="Hyperlink"/>
                <w:rFonts w:asciiTheme="majorBidi" w:hAnsiTheme="majorBidi"/>
                <w:b/>
                <w:bCs/>
                <w:noProof/>
              </w:rPr>
              <w:t>2. Gestion des concessionnaires</w:t>
            </w:r>
            <w:r>
              <w:rPr>
                <w:noProof/>
                <w:webHidden/>
              </w:rPr>
              <w:tab/>
            </w:r>
            <w:r>
              <w:rPr>
                <w:noProof/>
                <w:webHidden/>
              </w:rPr>
              <w:fldChar w:fldCharType="begin"/>
            </w:r>
            <w:r>
              <w:rPr>
                <w:noProof/>
                <w:webHidden/>
              </w:rPr>
              <w:instrText xml:space="preserve"> PAGEREF _Toc239287555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6" w:history="1">
            <w:r w:rsidRPr="00CA2DC4">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_Toc239287556 \h </w:instrText>
            </w:r>
            <w:r>
              <w:rPr>
                <w:noProof/>
                <w:webHidden/>
              </w:rPr>
            </w:r>
            <w:r>
              <w:rPr>
                <w:noProof/>
                <w:webHidden/>
              </w:rPr>
              <w:fldChar w:fldCharType="separate"/>
            </w:r>
            <w:r>
              <w:rPr>
                <w:noProof/>
                <w:webHidden/>
              </w:rPr>
              <w:t>28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7" w:history="1">
            <w:r w:rsidRPr="00CA2DC4">
              <w:rPr>
                <w:rStyle w:val="Hyperlink"/>
                <w:rFonts w:asciiTheme="majorBidi" w:hAnsiTheme="majorBidi"/>
                <w:b/>
                <w:bCs/>
                <w:noProof/>
              </w:rPr>
              <w:t>3. Gestion des partenariats et des contrats</w:t>
            </w:r>
            <w:r>
              <w:rPr>
                <w:noProof/>
                <w:webHidden/>
              </w:rPr>
              <w:tab/>
            </w:r>
            <w:r>
              <w:rPr>
                <w:noProof/>
                <w:webHidden/>
              </w:rPr>
              <w:fldChar w:fldCharType="begin"/>
            </w:r>
            <w:r>
              <w:rPr>
                <w:noProof/>
                <w:webHidden/>
              </w:rPr>
              <w:instrText xml:space="preserve"> PAGEREF _Toc239287557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8" w:history="1">
            <w:r w:rsidRPr="00CA2DC4">
              <w:rPr>
                <w:rStyle w:val="Hyperlink"/>
                <w:rFonts w:asciiTheme="majorBidi" w:hAnsiTheme="majorBidi"/>
                <w:b/>
                <w:bCs/>
                <w:noProof/>
              </w:rPr>
              <w:t>4. Gestion des produits et publication multi-banque</w:t>
            </w:r>
            <w:r>
              <w:rPr>
                <w:noProof/>
                <w:webHidden/>
              </w:rPr>
              <w:tab/>
            </w:r>
            <w:r>
              <w:rPr>
                <w:noProof/>
                <w:webHidden/>
              </w:rPr>
              <w:fldChar w:fldCharType="begin"/>
            </w:r>
            <w:r>
              <w:rPr>
                <w:noProof/>
                <w:webHidden/>
              </w:rPr>
              <w:instrText xml:space="preserve"> PAGEREF _Toc239287558 \h </w:instrText>
            </w:r>
            <w:r>
              <w:rPr>
                <w:noProof/>
                <w:webHidden/>
              </w:rPr>
            </w:r>
            <w:r>
              <w:rPr>
                <w:noProof/>
                <w:webHidden/>
              </w:rPr>
              <w:fldChar w:fldCharType="separate"/>
            </w:r>
            <w:r>
              <w:rPr>
                <w:noProof/>
                <w:webHidden/>
              </w:rPr>
              <w:t>29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59" w:history="1">
            <w:r w:rsidRPr="00CA2DC4">
              <w:rPr>
                <w:rStyle w:val="Hyperlink"/>
                <w:rFonts w:asciiTheme="majorBidi" w:hAnsiTheme="majorBidi"/>
                <w:b/>
                <w:bCs/>
                <w:noProof/>
              </w:rPr>
              <w:t>5.</w:t>
            </w:r>
            <w:r w:rsidRPr="00CA2DC4">
              <w:rPr>
                <w:rStyle w:val="Hyperlink"/>
                <w:rFonts w:asciiTheme="majorBidi" w:hAnsiTheme="majorBidi"/>
                <w:noProof/>
              </w:rPr>
              <w:t xml:space="preserve"> </w:t>
            </w:r>
            <w:r w:rsidRPr="00CA2DC4">
              <w:rPr>
                <w:rStyle w:val="Hyperlink"/>
                <w:rFonts w:asciiTheme="majorBidi" w:hAnsiTheme="majorBidi"/>
                <w:b/>
                <w:bCs/>
                <w:noProof/>
              </w:rPr>
              <w:t>Suivi des demandes de financement côté concessionnaire</w:t>
            </w:r>
            <w:r>
              <w:rPr>
                <w:noProof/>
                <w:webHidden/>
              </w:rPr>
              <w:tab/>
            </w:r>
            <w:r>
              <w:rPr>
                <w:noProof/>
                <w:webHidden/>
              </w:rPr>
              <w:fldChar w:fldCharType="begin"/>
            </w:r>
            <w:r>
              <w:rPr>
                <w:noProof/>
                <w:webHidden/>
              </w:rPr>
              <w:instrText xml:space="preserve"> PAGEREF _Toc239287559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0" w:history="1">
            <w:r w:rsidRPr="00CA2DC4">
              <w:rPr>
                <w:rStyle w:val="Hyperlink"/>
                <w:rFonts w:asciiTheme="majorBidi" w:hAnsiTheme="majorBidi"/>
                <w:b/>
                <w:bCs/>
                <w:noProof/>
              </w:rPr>
              <w:t>6.</w:t>
            </w:r>
            <w:r w:rsidRPr="00CA2DC4">
              <w:rPr>
                <w:rStyle w:val="Hyperlink"/>
                <w:rFonts w:asciiTheme="majorBidi" w:hAnsiTheme="majorBidi"/>
                <w:noProof/>
              </w:rPr>
              <w:t xml:space="preserve"> </w:t>
            </w:r>
            <w:r w:rsidRPr="00CA2DC4">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_Toc239287560 \h </w:instrText>
            </w:r>
            <w:r>
              <w:rPr>
                <w:noProof/>
                <w:webHidden/>
              </w:rPr>
            </w:r>
            <w:r>
              <w:rPr>
                <w:noProof/>
                <w:webHidden/>
              </w:rPr>
              <w:fldChar w:fldCharType="separate"/>
            </w:r>
            <w:r>
              <w:rPr>
                <w:noProof/>
                <w:webHidden/>
              </w:rPr>
              <w:t>30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1" w:history="1">
            <w:r w:rsidRPr="00CA2DC4">
              <w:rPr>
                <w:rStyle w:val="Hyperlink"/>
                <w:rFonts w:asciiTheme="majorBidi" w:hAnsiTheme="majorBidi"/>
                <w:b/>
                <w:bCs/>
                <w:noProof/>
              </w:rPr>
              <w:t>6.1. Consultation, comparaison et simulation</w:t>
            </w:r>
            <w:r>
              <w:rPr>
                <w:noProof/>
                <w:webHidden/>
              </w:rPr>
              <w:tab/>
            </w:r>
            <w:r>
              <w:rPr>
                <w:noProof/>
                <w:webHidden/>
              </w:rPr>
              <w:fldChar w:fldCharType="begin"/>
            </w:r>
            <w:r>
              <w:rPr>
                <w:noProof/>
                <w:webHidden/>
              </w:rPr>
              <w:instrText xml:space="preserve"> PAGEREF _Toc239287561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2" w:history="1">
            <w:r w:rsidRPr="00CA2DC4">
              <w:rPr>
                <w:rStyle w:val="Hyperlink"/>
                <w:rFonts w:asciiTheme="majorBidi" w:hAnsiTheme="majorBidi"/>
                <w:b/>
                <w:bCs/>
                <w:noProof/>
              </w:rPr>
              <w:t xml:space="preserve">6.2. </w:t>
            </w:r>
            <w:r w:rsidRPr="00CA2DC4">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_Toc239287562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3" w:history="1">
            <w:r w:rsidRPr="00CA2DC4">
              <w:rPr>
                <w:rStyle w:val="Hyperlink"/>
                <w:rFonts w:asciiTheme="majorBidi" w:hAnsiTheme="majorBidi"/>
                <w:b/>
                <w:bCs/>
                <w:noProof/>
              </w:rPr>
              <w:t>6.3. Constitution et soumission du dossier</w:t>
            </w:r>
            <w:r>
              <w:rPr>
                <w:noProof/>
                <w:webHidden/>
              </w:rPr>
              <w:tab/>
            </w:r>
            <w:r>
              <w:rPr>
                <w:noProof/>
                <w:webHidden/>
              </w:rPr>
              <w:fldChar w:fldCharType="begin"/>
            </w:r>
            <w:r>
              <w:rPr>
                <w:noProof/>
                <w:webHidden/>
              </w:rPr>
              <w:instrText xml:space="preserve"> PAGEREF _Toc239287563 \h </w:instrText>
            </w:r>
            <w:r>
              <w:rPr>
                <w:noProof/>
                <w:webHidden/>
              </w:rPr>
            </w:r>
            <w:r>
              <w:rPr>
                <w:noProof/>
                <w:webHidden/>
              </w:rPr>
              <w:fldChar w:fldCharType="separate"/>
            </w:r>
            <w:r>
              <w:rPr>
                <w:noProof/>
                <w:webHidden/>
              </w:rPr>
              <w:t>31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4" w:history="1">
            <w:r w:rsidRPr="00CA2DC4">
              <w:rPr>
                <w:rStyle w:val="Hyperlink"/>
                <w:rFonts w:asciiTheme="majorBidi" w:hAnsiTheme="majorBidi"/>
                <w:b/>
                <w:bCs/>
                <w:noProof/>
              </w:rPr>
              <w:t>6.4. Traitement de la demande par la banque</w:t>
            </w:r>
            <w:r>
              <w:rPr>
                <w:noProof/>
                <w:webHidden/>
              </w:rPr>
              <w:tab/>
            </w:r>
            <w:r>
              <w:rPr>
                <w:noProof/>
                <w:webHidden/>
              </w:rPr>
              <w:fldChar w:fldCharType="begin"/>
            </w:r>
            <w:r>
              <w:rPr>
                <w:noProof/>
                <w:webHidden/>
              </w:rPr>
              <w:instrText xml:space="preserve"> PAGEREF _Toc239287564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5" w:history="1">
            <w:r w:rsidRPr="00CA2DC4">
              <w:rPr>
                <w:rStyle w:val="Hyperlink"/>
                <w:rFonts w:asciiTheme="majorBidi" w:hAnsiTheme="majorBidi"/>
                <w:b/>
                <w:bCs/>
                <w:noProof/>
              </w:rPr>
              <w:t>7. Assistants conversationnels de la plateforme</w:t>
            </w:r>
            <w:r>
              <w:rPr>
                <w:noProof/>
                <w:webHidden/>
              </w:rPr>
              <w:tab/>
            </w:r>
            <w:r>
              <w:rPr>
                <w:noProof/>
                <w:webHidden/>
              </w:rPr>
              <w:fldChar w:fldCharType="begin"/>
            </w:r>
            <w:r>
              <w:rPr>
                <w:noProof/>
                <w:webHidden/>
              </w:rPr>
              <w:instrText xml:space="preserve"> PAGEREF _Toc239287565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6" w:history="1">
            <w:r w:rsidRPr="00CA2DC4">
              <w:rPr>
                <w:rStyle w:val="Hyperlink"/>
                <w:rFonts w:asciiTheme="majorBidi" w:hAnsiTheme="majorBidi"/>
                <w:b/>
                <w:bCs/>
                <w:noProof/>
              </w:rPr>
              <w:t>7.1. Assistant IA pour le pilotage du SaaS</w:t>
            </w:r>
            <w:r>
              <w:rPr>
                <w:noProof/>
                <w:webHidden/>
              </w:rPr>
              <w:tab/>
            </w:r>
            <w:r>
              <w:rPr>
                <w:noProof/>
                <w:webHidden/>
              </w:rPr>
              <w:fldChar w:fldCharType="begin"/>
            </w:r>
            <w:r>
              <w:rPr>
                <w:noProof/>
                <w:webHidden/>
              </w:rPr>
              <w:instrText xml:space="preserve"> PAGEREF _Toc239287566 \h </w:instrText>
            </w:r>
            <w:r>
              <w:rPr>
                <w:noProof/>
                <w:webHidden/>
              </w:rPr>
            </w:r>
            <w:r>
              <w:rPr>
                <w:noProof/>
                <w:webHidden/>
              </w:rPr>
              <w:fldChar w:fldCharType="separate"/>
            </w:r>
            <w:r>
              <w:rPr>
                <w:noProof/>
                <w:webHidden/>
              </w:rPr>
              <w:t>32</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7" w:history="1">
            <w:r w:rsidRPr="00CA2DC4">
              <w:rPr>
                <w:rStyle w:val="Hyperlink"/>
                <w:rFonts w:asciiTheme="majorBidi" w:hAnsiTheme="majorBidi"/>
                <w:b/>
                <w:bCs/>
                <w:noProof/>
              </w:rPr>
              <w:t>7.2. Fonctionnement et sécurisation de l’assistant IA</w:t>
            </w:r>
            <w:r>
              <w:rPr>
                <w:noProof/>
                <w:webHidden/>
              </w:rPr>
              <w:tab/>
            </w:r>
            <w:r>
              <w:rPr>
                <w:noProof/>
                <w:webHidden/>
              </w:rPr>
              <w:fldChar w:fldCharType="begin"/>
            </w:r>
            <w:r>
              <w:rPr>
                <w:noProof/>
                <w:webHidden/>
              </w:rPr>
              <w:instrText xml:space="preserve"> PAGEREF _Toc239287567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8" w:history="1">
            <w:r w:rsidRPr="00CA2DC4">
              <w:rPr>
                <w:rStyle w:val="Hyperlink"/>
                <w:rFonts w:asciiTheme="majorBidi" w:hAnsiTheme="majorBidi"/>
                <w:b/>
                <w:bCs/>
                <w:noProof/>
              </w:rPr>
              <w:t>7.3. Chatbot public des marketplaces</w:t>
            </w:r>
            <w:r>
              <w:rPr>
                <w:noProof/>
                <w:webHidden/>
              </w:rPr>
              <w:tab/>
            </w:r>
            <w:r>
              <w:rPr>
                <w:noProof/>
                <w:webHidden/>
              </w:rPr>
              <w:fldChar w:fldCharType="begin"/>
            </w:r>
            <w:r>
              <w:rPr>
                <w:noProof/>
                <w:webHidden/>
              </w:rPr>
              <w:instrText xml:space="preserve"> PAGEREF _Toc239287568 \h </w:instrText>
            </w:r>
            <w:r>
              <w:rPr>
                <w:noProof/>
                <w:webHidden/>
              </w:rPr>
            </w:r>
            <w:r>
              <w:rPr>
                <w:noProof/>
                <w:webHidden/>
              </w:rPr>
              <w:fldChar w:fldCharType="separate"/>
            </w:r>
            <w:r>
              <w:rPr>
                <w:noProof/>
                <w:webHidden/>
              </w:rPr>
              <w:t>33</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69" w:history="1">
            <w:r w:rsidRPr="00CA2DC4">
              <w:rPr>
                <w:rStyle w:val="Hyperlink"/>
                <w:rFonts w:asciiTheme="majorBidi" w:hAnsiTheme="majorBidi"/>
                <w:b/>
                <w:bCs/>
                <w:noProof/>
              </w:rPr>
              <w:t>8. Introduction</w:t>
            </w:r>
            <w:r>
              <w:rPr>
                <w:noProof/>
                <w:webHidden/>
              </w:rPr>
              <w:tab/>
            </w:r>
            <w:r>
              <w:rPr>
                <w:noProof/>
                <w:webHidden/>
              </w:rPr>
              <w:fldChar w:fldCharType="begin"/>
            </w:r>
            <w:r>
              <w:rPr>
                <w:noProof/>
                <w:webHidden/>
              </w:rPr>
              <w:instrText xml:space="preserve"> PAGEREF _Toc239287569 \h </w:instrText>
            </w:r>
            <w:r>
              <w:rPr>
                <w:noProof/>
                <w:webHidden/>
              </w:rPr>
            </w:r>
            <w:r>
              <w:rPr>
                <w:noProof/>
                <w:webHidden/>
              </w:rPr>
              <w:fldChar w:fldCharType="separate"/>
            </w:r>
            <w:r>
              <w:rPr>
                <w:noProof/>
                <w:webHidden/>
              </w:rPr>
              <w:t>34</w:t>
            </w:r>
            <w:r>
              <w:rPr>
                <w:noProof/>
                <w:webHidden/>
              </w:rPr>
              <w:fldChar w:fldCharType="end"/>
            </w:r>
          </w:hyperlink>
        </w:p>
        <w:p w:rsidR="00B50C4E" w:rsidRDefault="00B50C4E">
          <w:pPr>
            <w:pStyle w:val="TOC1"/>
            <w:tabs>
              <w:tab w:val="right" w:leader="dot" w:pos="9062"/>
            </w:tabs>
            <w:rPr>
              <w:rFonts w:eastAsiaTheme="minorEastAsia"/>
              <w:noProof/>
              <w:lang w:eastAsia="fr-FR"/>
            </w:rPr>
          </w:pPr>
          <w:hyperlink w:anchor="_Toc239287570" w:history="1">
            <w:r w:rsidRPr="00CA2DC4">
              <w:rPr>
                <w:rStyle w:val="Hyperlink"/>
                <w:rFonts w:asciiTheme="majorBidi" w:hAnsiTheme="majorBidi"/>
                <w:b/>
                <w:bCs/>
                <w:noProof/>
              </w:rPr>
              <w:t>Chapitre 6 : DevOps, pipeline CI/CD et déploiement sur Microsoft Azure</w:t>
            </w:r>
            <w:r>
              <w:rPr>
                <w:noProof/>
                <w:webHidden/>
              </w:rPr>
              <w:tab/>
            </w:r>
            <w:r>
              <w:rPr>
                <w:noProof/>
                <w:webHidden/>
              </w:rPr>
              <w:fldChar w:fldCharType="begin"/>
            </w:r>
            <w:r>
              <w:rPr>
                <w:noProof/>
                <w:webHidden/>
              </w:rPr>
              <w:instrText xml:space="preserve"> PAGEREF _Toc239287570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1" w:history="1">
            <w:r w:rsidRPr="00CA2DC4">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_Toc239287571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2" w:history="1">
            <w:r w:rsidRPr="00CA2DC4">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_Toc239287572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3" w:history="1">
            <w:r w:rsidRPr="00CA2DC4">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_Toc239287573 \h </w:instrText>
            </w:r>
            <w:r>
              <w:rPr>
                <w:noProof/>
                <w:webHidden/>
              </w:rPr>
            </w:r>
            <w:r>
              <w:rPr>
                <w:noProof/>
                <w:webHidden/>
              </w:rPr>
              <w:fldChar w:fldCharType="separate"/>
            </w:r>
            <w:r>
              <w:rPr>
                <w:noProof/>
                <w:webHidden/>
              </w:rPr>
              <w:t>35</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4" w:history="1">
            <w:r w:rsidRPr="00CA2DC4">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_Toc239287574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5" w:history="1">
            <w:r w:rsidRPr="00CA2DC4">
              <w:rPr>
                <w:rStyle w:val="Hyperlink"/>
                <w:rFonts w:asciiTheme="majorBidi" w:hAnsiTheme="majorBidi"/>
                <w:b/>
                <w:bCs/>
                <w:noProof/>
              </w:rPr>
              <w:t>3. Conteneurisation avec Docker</w:t>
            </w:r>
            <w:r>
              <w:rPr>
                <w:noProof/>
                <w:webHidden/>
              </w:rPr>
              <w:tab/>
            </w:r>
            <w:r>
              <w:rPr>
                <w:noProof/>
                <w:webHidden/>
              </w:rPr>
              <w:fldChar w:fldCharType="begin"/>
            </w:r>
            <w:r>
              <w:rPr>
                <w:noProof/>
                <w:webHidden/>
              </w:rPr>
              <w:instrText xml:space="preserve"> PAGEREF _Toc239287575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6" w:history="1">
            <w:r w:rsidRPr="00CA2DC4">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_Toc239287576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7" w:history="1">
            <w:r w:rsidRPr="00CA2DC4">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_Toc239287577 \h </w:instrText>
            </w:r>
            <w:r>
              <w:rPr>
                <w:noProof/>
                <w:webHidden/>
              </w:rPr>
            </w:r>
            <w:r>
              <w:rPr>
                <w:noProof/>
                <w:webHidden/>
              </w:rPr>
              <w:fldChar w:fldCharType="separate"/>
            </w:r>
            <w:r>
              <w:rPr>
                <w:noProof/>
                <w:webHidden/>
              </w:rPr>
              <w:t>36</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8" w:history="1">
            <w:r w:rsidRPr="00CA2DC4">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_Toc239287578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79" w:history="1">
            <w:r w:rsidRPr="00CA2DC4">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_Toc239287579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0" w:history="1">
            <w:r w:rsidRPr="00CA2DC4">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_Toc239287580 \h </w:instrText>
            </w:r>
            <w:r>
              <w:rPr>
                <w:noProof/>
                <w:webHidden/>
              </w:rPr>
            </w:r>
            <w:r>
              <w:rPr>
                <w:noProof/>
                <w:webHidden/>
              </w:rPr>
              <w:fldChar w:fldCharType="separate"/>
            </w:r>
            <w:r>
              <w:rPr>
                <w:noProof/>
                <w:webHidden/>
              </w:rPr>
              <w:t>37</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1" w:history="1">
            <w:r w:rsidRPr="00CA2DC4">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_Toc239287581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2" w:history="1">
            <w:r w:rsidRPr="00CA2DC4">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_Toc239287582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3" w:history="1">
            <w:r w:rsidRPr="00CA2DC4">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_Toc239287583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4" w:history="1">
            <w:r w:rsidRPr="00CA2DC4">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_Toc239287584 \h </w:instrText>
            </w:r>
            <w:r>
              <w:rPr>
                <w:noProof/>
                <w:webHidden/>
              </w:rPr>
            </w:r>
            <w:r>
              <w:rPr>
                <w:noProof/>
                <w:webHidden/>
              </w:rPr>
              <w:fldChar w:fldCharType="separate"/>
            </w:r>
            <w:r>
              <w:rPr>
                <w:noProof/>
                <w:webHidden/>
              </w:rPr>
              <w:t>38</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5" w:history="1">
            <w:r w:rsidRPr="00CA2DC4">
              <w:rPr>
                <w:rStyle w:val="Hyperlink"/>
                <w:rFonts w:asciiTheme="majorBidi" w:hAnsiTheme="majorBidi"/>
                <w:b/>
                <w:bCs/>
                <w:noProof/>
              </w:rPr>
              <w:t>6. Construction publication des images Docker</w:t>
            </w:r>
            <w:r>
              <w:rPr>
                <w:noProof/>
                <w:webHidden/>
              </w:rPr>
              <w:tab/>
            </w:r>
            <w:r>
              <w:rPr>
                <w:noProof/>
                <w:webHidden/>
              </w:rPr>
              <w:fldChar w:fldCharType="begin"/>
            </w:r>
            <w:r>
              <w:rPr>
                <w:noProof/>
                <w:webHidden/>
              </w:rPr>
              <w:instrText xml:space="preserve"> PAGEREF _Toc239287585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6" w:history="1">
            <w:r w:rsidRPr="00CA2DC4">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_Toc239287586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7" w:history="1">
            <w:r w:rsidRPr="00CA2DC4">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_Toc239287587 \h </w:instrText>
            </w:r>
            <w:r>
              <w:rPr>
                <w:noProof/>
                <w:webHidden/>
              </w:rPr>
            </w:r>
            <w:r>
              <w:rPr>
                <w:noProof/>
                <w:webHidden/>
              </w:rPr>
              <w:fldChar w:fldCharType="separate"/>
            </w:r>
            <w:r>
              <w:rPr>
                <w:noProof/>
                <w:webHidden/>
              </w:rPr>
              <w:t>39</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8" w:history="1">
            <w:r w:rsidRPr="00CA2DC4">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_Toc239287588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89" w:history="1">
            <w:r w:rsidRPr="00CA2DC4">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_Toc239287589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0" w:history="1">
            <w:r w:rsidRPr="00CA2DC4">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_Toc239287590 \h </w:instrText>
            </w:r>
            <w:r>
              <w:rPr>
                <w:noProof/>
                <w:webHidden/>
              </w:rPr>
            </w:r>
            <w:r>
              <w:rPr>
                <w:noProof/>
                <w:webHidden/>
              </w:rPr>
              <w:fldChar w:fldCharType="separate"/>
            </w:r>
            <w:r>
              <w:rPr>
                <w:noProof/>
                <w:webHidden/>
              </w:rPr>
              <w:t>40</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1" w:history="1">
            <w:r w:rsidRPr="00CA2DC4">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_Toc239287591 \h </w:instrText>
            </w:r>
            <w:r>
              <w:rPr>
                <w:noProof/>
                <w:webHidden/>
              </w:rPr>
            </w:r>
            <w:r>
              <w:rPr>
                <w:noProof/>
                <w:webHidden/>
              </w:rPr>
              <w:fldChar w:fldCharType="separate"/>
            </w:r>
            <w:r>
              <w:rPr>
                <w:noProof/>
                <w:webHidden/>
              </w:rPr>
              <w:t>41</w:t>
            </w:r>
            <w:r>
              <w:rPr>
                <w:noProof/>
                <w:webHidden/>
              </w:rPr>
              <w:fldChar w:fldCharType="end"/>
            </w:r>
          </w:hyperlink>
        </w:p>
        <w:p w:rsidR="00B50C4E" w:rsidRDefault="00B50C4E">
          <w:pPr>
            <w:pStyle w:val="TOC2"/>
            <w:tabs>
              <w:tab w:val="right" w:leader="dot" w:pos="9062"/>
            </w:tabs>
            <w:rPr>
              <w:rFonts w:eastAsiaTheme="minorEastAsia"/>
              <w:noProof/>
              <w:lang w:eastAsia="fr-FR"/>
            </w:rPr>
          </w:pPr>
          <w:hyperlink w:anchor="_Toc239287592" w:history="1">
            <w:r w:rsidRPr="00CA2DC4">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_Toc239287592 \h </w:instrText>
            </w:r>
            <w:r>
              <w:rPr>
                <w:noProof/>
                <w:webHidden/>
              </w:rPr>
            </w:r>
            <w:r>
              <w:rPr>
                <w:noProof/>
                <w:webHidden/>
              </w:rPr>
              <w:fldChar w:fldCharType="separate"/>
            </w:r>
            <w:r>
              <w:rPr>
                <w:noProof/>
                <w:webHidden/>
              </w:rPr>
              <w:t>41</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287498"/>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563DDF">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287499"/>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287500"/>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proofErr w:type="gramStart"/>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w:t>
      </w:r>
      <w:proofErr w:type="gramEnd"/>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proofErr w:type="gramStart"/>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w:t>
      </w:r>
      <w:proofErr w:type="gramEnd"/>
      <w:r w:rsidRPr="0014427F">
        <w:rPr>
          <w:rFonts w:asciiTheme="majorBidi" w:hAnsiTheme="majorBidi" w:cstheme="majorBidi"/>
          <w:sz w:val="28"/>
          <w:szCs w:val="28"/>
          <w:lang w:val="en-US"/>
        </w:rPr>
        <w:t xml:space="preserve">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proofErr w:type="spellStart"/>
      <w:r w:rsidRPr="0014427F">
        <w:rPr>
          <w:rStyle w:val="Strong"/>
          <w:rFonts w:asciiTheme="majorBidi" w:hAnsiTheme="majorBidi" w:cstheme="majorBidi"/>
          <w:b w:val="0"/>
          <w:bCs w:val="0"/>
          <w:sz w:val="28"/>
          <w:szCs w:val="28"/>
        </w:rPr>
        <w:t>Continuous</w:t>
      </w:r>
      <w:proofErr w:type="spellEnd"/>
      <w:r w:rsidRPr="0014427F">
        <w:rPr>
          <w:rStyle w:val="Strong"/>
          <w:rFonts w:asciiTheme="majorBidi" w:hAnsiTheme="majorBidi" w:cstheme="majorBidi"/>
          <w:b w:val="0"/>
          <w:bCs w:val="0"/>
          <w:sz w:val="28"/>
          <w:szCs w:val="28"/>
        </w:rPr>
        <w:t xml:space="preserve"> </w:t>
      </w:r>
      <w:proofErr w:type="spellStart"/>
      <w:r w:rsidRPr="0014427F">
        <w:rPr>
          <w:rStyle w:val="Strong"/>
          <w:rFonts w:asciiTheme="majorBidi" w:hAnsiTheme="majorBidi" w:cstheme="majorBidi"/>
          <w:b w:val="0"/>
          <w:bCs w:val="0"/>
          <w:sz w:val="28"/>
          <w:szCs w:val="28"/>
        </w:rPr>
        <w:t>Integration</w:t>
      </w:r>
      <w:proofErr w:type="spellEnd"/>
    </w:p>
    <w:p w:rsidR="001E4B1B" w:rsidRPr="001E4B1B" w:rsidRDefault="001E4B1B" w:rsidP="00A96285">
      <w:pPr>
        <w:rPr>
          <w:rFonts w:asciiTheme="majorBidi" w:hAnsiTheme="majorBidi" w:cstheme="majorBidi"/>
          <w:sz w:val="28"/>
          <w:szCs w:val="28"/>
        </w:rPr>
        <w:sectPr w:rsidR="001E4B1B" w:rsidRPr="001E4B1B"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proofErr w:type="spellStart"/>
      <w:r w:rsidRPr="001E4B1B">
        <w:rPr>
          <w:rStyle w:val="Strong"/>
          <w:rFonts w:asciiTheme="majorBidi" w:hAnsiTheme="majorBidi" w:cstheme="majorBidi"/>
          <w:b w:val="0"/>
          <w:bCs w:val="0"/>
          <w:sz w:val="28"/>
          <w:szCs w:val="28"/>
        </w:rPr>
        <w:t>Continuous</w:t>
      </w:r>
      <w:proofErr w:type="spellEnd"/>
      <w:r w:rsidRPr="001E4B1B">
        <w:rPr>
          <w:rStyle w:val="Strong"/>
          <w:rFonts w:asciiTheme="majorBidi" w:hAnsiTheme="majorBidi" w:cstheme="majorBidi"/>
          <w:b w:val="0"/>
          <w:bCs w:val="0"/>
          <w:sz w:val="28"/>
          <w:szCs w:val="28"/>
        </w:rPr>
        <w:t xml:space="preserve"> </w:t>
      </w:r>
      <w:proofErr w:type="spellStart"/>
      <w:r w:rsidRPr="001E4B1B">
        <w:rPr>
          <w:rStyle w:val="Strong"/>
          <w:rFonts w:asciiTheme="majorBidi" w:hAnsiTheme="majorBidi" w:cstheme="majorBidi"/>
          <w:b w:val="0"/>
          <w:bCs w:val="0"/>
          <w:sz w:val="28"/>
          <w:szCs w:val="28"/>
        </w:rPr>
        <w:t>Deployment</w:t>
      </w:r>
      <w:proofErr w:type="spellEnd"/>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287501"/>
      <w:r w:rsidRPr="004D6D77">
        <w:rPr>
          <w:rFonts w:asciiTheme="majorBidi" w:hAnsiTheme="majorBidi"/>
          <w:b/>
          <w:bCs/>
          <w:color w:val="000000" w:themeColor="text1"/>
          <w:sz w:val="36"/>
          <w:szCs w:val="36"/>
        </w:rPr>
        <w:lastRenderedPageBreak/>
        <w:t>Introduction générale</w:t>
      </w:r>
      <w:bookmarkEnd w:id="3"/>
      <w:bookmarkEnd w:id="4"/>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5"/>
          <w:pgSz w:w="11906" w:h="16838"/>
          <w:pgMar w:top="1417" w:right="1417" w:bottom="1417" w:left="1417" w:header="454" w:footer="454" w:gutter="0"/>
          <w:pgNumType w:start="1"/>
          <w:cols w:space="708"/>
          <w:docGrid w:linePitch="360"/>
        </w:sectPr>
      </w:pPr>
      <w:bookmarkStart w:id="5"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287502"/>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287503"/>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287504"/>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287505"/>
      <w:r>
        <w:rPr>
          <w:rFonts w:asciiTheme="majorBidi" w:hAnsiTheme="majorBidi"/>
          <w:b/>
          <w:bCs/>
          <w:color w:val="000000" w:themeColor="text1"/>
          <w:sz w:val="28"/>
          <w:szCs w:val="28"/>
        </w:rPr>
        <w:t xml:space="preserve">BRI </w:t>
      </w:r>
      <w:proofErr w:type="spellStart"/>
      <w:r>
        <w:rPr>
          <w:rFonts w:asciiTheme="majorBidi" w:hAnsiTheme="majorBidi"/>
          <w:b/>
          <w:bCs/>
          <w:color w:val="000000" w:themeColor="text1"/>
          <w:sz w:val="28"/>
          <w:szCs w:val="28"/>
        </w:rPr>
        <w:t>Technology</w:t>
      </w:r>
      <w:bookmarkEnd w:id="12"/>
      <w:proofErr w:type="spellEnd"/>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xml:space="preserve">: Logo de BRI </w:t>
      </w:r>
      <w:proofErr w:type="spellStart"/>
      <w:r w:rsidRPr="00F22B5E">
        <w:rPr>
          <w:b/>
          <w:bCs/>
          <w:sz w:val="22"/>
          <w:szCs w:val="22"/>
        </w:rPr>
        <w:t>Technology</w:t>
      </w:r>
      <w:bookmarkEnd w:id="13"/>
      <w:proofErr w:type="spellEnd"/>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287506"/>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 xml:space="preserve">s par BRI </w:t>
      </w:r>
      <w:proofErr w:type="spellStart"/>
      <w:r>
        <w:rPr>
          <w:rFonts w:asciiTheme="majorBidi" w:hAnsiTheme="majorBidi"/>
          <w:b/>
          <w:bCs/>
          <w:color w:val="000000" w:themeColor="text1"/>
          <w:sz w:val="28"/>
          <w:szCs w:val="28"/>
        </w:rPr>
        <w:t>Technology</w:t>
      </w:r>
      <w:bookmarkEnd w:id="14"/>
      <w:proofErr w:type="spellEnd"/>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 xml:space="preserve">BRI </w:t>
      </w:r>
      <w:proofErr w:type="spellStart"/>
      <w:r w:rsidRPr="00F22B5E">
        <w:rPr>
          <w:rFonts w:asciiTheme="majorBidi" w:hAnsiTheme="majorBidi" w:cstheme="majorBidi"/>
          <w:sz w:val="24"/>
          <w:szCs w:val="24"/>
        </w:rPr>
        <w:t>Technology</w:t>
      </w:r>
      <w:proofErr w:type="spellEnd"/>
      <w:r w:rsidRPr="00F22B5E">
        <w:rPr>
          <w:rFonts w:asciiTheme="majorBidi" w:hAnsiTheme="majorBidi" w:cstheme="majorBidi"/>
          <w:sz w:val="24"/>
          <w:szCs w:val="24"/>
        </w:rPr>
        <w:t xml:space="preserve">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 xml:space="preserve">besoins spécifiques de différents secteurs d’activité. Ses réalisations couvrent notamment le commerce en ligne, les </w:t>
      </w:r>
      <w:proofErr w:type="spellStart"/>
      <w:r w:rsidRPr="0081070D">
        <w:rPr>
          <w:rFonts w:ascii="Times New Roman" w:eastAsia="Times New Roman" w:hAnsi="Times New Roman" w:cs="Times New Roman"/>
          <w:sz w:val="24"/>
          <w:szCs w:val="24"/>
          <w:lang w:eastAsia="fr-FR"/>
        </w:rPr>
        <w:t>marketplaces</w:t>
      </w:r>
      <w:proofErr w:type="spellEnd"/>
      <w:r w:rsidRPr="0081070D">
        <w:rPr>
          <w:rFonts w:ascii="Times New Roman" w:eastAsia="Times New Roman" w:hAnsi="Times New Roman" w:cs="Times New Roman"/>
          <w:sz w:val="24"/>
          <w:szCs w:val="24"/>
          <w:lang w:eastAsia="fr-FR"/>
        </w:rPr>
        <w:t xml:space="preserve">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w:t>
      </w:r>
      <w:proofErr w:type="spellStart"/>
      <w:r w:rsidRPr="0081070D">
        <w:rPr>
          <w:rFonts w:ascii="Times New Roman" w:eastAsia="Times New Roman" w:hAnsi="Times New Roman" w:cs="Times New Roman"/>
          <w:sz w:val="24"/>
          <w:szCs w:val="24"/>
          <w:lang w:eastAsia="fr-FR"/>
        </w:rPr>
        <w:t>Technology</w:t>
      </w:r>
      <w:proofErr w:type="spellEnd"/>
      <w:r w:rsidRPr="0081070D">
        <w:rPr>
          <w:rFonts w:ascii="Times New Roman" w:eastAsia="Times New Roman" w:hAnsi="Times New Roman" w:cs="Times New Roman"/>
          <w:sz w:val="24"/>
          <w:szCs w:val="24"/>
          <w:lang w:eastAsia="fr-FR"/>
        </w:rPr>
        <w:t xml:space="preserve">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287507"/>
      <w:r w:rsidRPr="0081070D">
        <w:rPr>
          <w:rFonts w:asciiTheme="majorBidi" w:hAnsiTheme="majorBidi"/>
          <w:b/>
          <w:bCs/>
          <w:color w:val="000000" w:themeColor="text1"/>
          <w:sz w:val="28"/>
          <w:szCs w:val="28"/>
        </w:rPr>
        <w:t xml:space="preserve">Les solutions proposées par BRI </w:t>
      </w:r>
      <w:proofErr w:type="spellStart"/>
      <w:r w:rsidRPr="0081070D">
        <w:rPr>
          <w:rFonts w:asciiTheme="majorBidi" w:hAnsiTheme="majorBidi"/>
          <w:b/>
          <w:bCs/>
          <w:color w:val="000000" w:themeColor="text1"/>
          <w:sz w:val="28"/>
          <w:szCs w:val="28"/>
        </w:rPr>
        <w:t>Technology</w:t>
      </w:r>
      <w:bookmarkEnd w:id="15"/>
      <w:proofErr w:type="spellEnd"/>
    </w:p>
    <w:p w:rsidR="005C5C58" w:rsidRDefault="005C5C58" w:rsidP="005C5C58">
      <w:pPr>
        <w:pStyle w:val="isselectedend"/>
        <w:spacing w:line="360" w:lineRule="auto"/>
        <w:jc w:val="both"/>
      </w:pPr>
      <w:r>
        <w:t xml:space="preserve">Les solutions </w:t>
      </w:r>
      <w:r w:rsidR="0081070D">
        <w:t xml:space="preserve"> proposées par BRI </w:t>
      </w:r>
      <w:proofErr w:type="spellStart"/>
      <w:r w:rsidR="0081070D">
        <w:t>Technol</w:t>
      </w:r>
      <w:r>
        <w:t>ogy</w:t>
      </w:r>
      <w:proofErr w:type="spellEnd"/>
      <w:r>
        <w:t xml:space="preserve">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w:t>
      </w:r>
      <w:proofErr w:type="spellStart"/>
      <w:r>
        <w:t>Technology</w:t>
      </w:r>
      <w:proofErr w:type="spellEnd"/>
      <w:r>
        <w:t xml:space="preserve"> propose des solutions de digital </w:t>
      </w:r>
      <w:proofErr w:type="spellStart"/>
      <w:r>
        <w:t>banking</w:t>
      </w:r>
      <w:proofErr w:type="spellEnd"/>
      <w:r>
        <w:t xml:space="preserve"> permettant l’intégration des systèmes bancaires, la mise en place de plateformes web et mobiles, les solutions de paiement et les portefeuilles numériques. Son produit phare, </w:t>
      </w:r>
      <w:proofErr w:type="spellStart"/>
      <w:r w:rsidRPr="001152A1">
        <w:rPr>
          <w:b/>
          <w:bCs/>
        </w:rPr>
        <w:t>Matchia</w:t>
      </w:r>
      <w:proofErr w:type="spellEnd"/>
      <w:r>
        <w:t xml:space="preserve">, est une </w:t>
      </w:r>
      <w:proofErr w:type="spellStart"/>
      <w:r>
        <w:t>marketplace</w:t>
      </w:r>
      <w:proofErr w:type="spellEnd"/>
      <w:r>
        <w:t xml:space="preserve"> de financement intelligente basée sur l’intelligence artificielle. Cette solution permet la simulation de produits financiers, l’évaluation d’éligibilité en temps réel, l’</w:t>
      </w:r>
      <w:proofErr w:type="spellStart"/>
      <w:r>
        <w:t>onboarding</w:t>
      </w:r>
      <w:proofErr w:type="spellEnd"/>
      <w:r>
        <w:t xml:space="preserve"> client automatisé et l’intégration avec différents partenaires.</w:t>
      </w:r>
    </w:p>
    <w:p w:rsidR="005C5C58" w:rsidRDefault="005C5C58" w:rsidP="005C5C58">
      <w:pPr>
        <w:pStyle w:val="NormalWeb"/>
        <w:spacing w:line="360" w:lineRule="auto"/>
        <w:jc w:val="both"/>
      </w:pPr>
      <w:r>
        <w:t xml:space="preserve">L’entreprise propose également des solutions de </w:t>
      </w:r>
      <w:proofErr w:type="spellStart"/>
      <w:r>
        <w:t>cybersécurité</w:t>
      </w:r>
      <w:proofErr w:type="spellEnd"/>
      <w:r>
        <w:t xml:space="preserve">, de développement logiciel sur mesure, d’applications web et mobiles, d’architectures API et </w:t>
      </w:r>
      <w:proofErr w:type="spellStart"/>
      <w:r>
        <w:t>microservices</w:t>
      </w:r>
      <w:proofErr w:type="spellEnd"/>
      <w:r>
        <w:t>,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287508"/>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287509"/>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 xml:space="preserve">Les </w:t>
      </w:r>
      <w:proofErr w:type="spellStart"/>
      <w:r>
        <w:t>marketplaces</w:t>
      </w:r>
      <w:proofErr w:type="spellEnd"/>
      <w:r>
        <w:t xml:space="preserve">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287510"/>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 xml:space="preserve">Avant la mise en place de la solution proposée, la gestion des </w:t>
      </w:r>
      <w:proofErr w:type="spellStart"/>
      <w:r>
        <w:t>marketplaces</w:t>
      </w:r>
      <w:proofErr w:type="spellEnd"/>
      <w:r>
        <w:t xml:space="preserve">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 xml:space="preserve">version spécifique et personnalisée de la </w:t>
      </w:r>
      <w:proofErr w:type="spellStart"/>
      <w:r w:rsidRPr="00DC2156">
        <w:rPr>
          <w:rStyle w:val="Strong"/>
          <w:b w:val="0"/>
          <w:bCs w:val="0"/>
        </w:rPr>
        <w:t>marketplace</w:t>
      </w:r>
      <w:proofErr w:type="spellEnd"/>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 xml:space="preserve">Demande de </w:t>
      </w:r>
      <w:proofErr w:type="spellStart"/>
      <w:r w:rsidRPr="004109B1">
        <w:rPr>
          <w:rFonts w:asciiTheme="majorBidi" w:hAnsiTheme="majorBidi" w:cstheme="majorBidi"/>
          <w:b/>
          <w:bCs/>
          <w:shd w:val="clear" w:color="auto" w:fill="FFFFFF"/>
        </w:rPr>
        <w:t>marketplace</w:t>
      </w:r>
      <w:proofErr w:type="spellEnd"/>
      <w:r w:rsidRPr="004109B1">
        <w:rPr>
          <w:rFonts w:asciiTheme="majorBidi" w:hAnsiTheme="majorBidi" w:cstheme="majorBidi"/>
          <w:b/>
          <w:bCs/>
          <w:shd w:val="clear" w:color="auto" w:fill="FFFFFF"/>
        </w:rPr>
        <w:t xml:space="preserve"> et </w:t>
      </w:r>
      <w:proofErr w:type="spellStart"/>
      <w:r w:rsidRPr="004109B1">
        <w:rPr>
          <w:rFonts w:asciiTheme="majorBidi" w:hAnsiTheme="majorBidi" w:cstheme="majorBidi"/>
          <w:b/>
          <w:bCs/>
          <w:shd w:val="clear" w:color="auto" w:fill="FFFFFF"/>
        </w:rPr>
        <w:t>onboarding</w:t>
      </w:r>
      <w:proofErr w:type="spellEnd"/>
      <w:r w:rsidRPr="004109B1">
        <w:rPr>
          <w:rFonts w:asciiTheme="majorBidi" w:hAnsiTheme="majorBidi" w:cstheme="majorBidi"/>
          <w:b/>
          <w:bCs/>
          <w:shd w:val="clear" w:color="auto" w:fill="FFFFFF"/>
        </w:rPr>
        <w:t xml:space="preserve"> traditionnel</w:t>
      </w:r>
      <w:r w:rsidR="00F45D0C">
        <w:rPr>
          <w:rFonts w:asciiTheme="majorBidi" w:hAnsiTheme="majorBidi" w:cstheme="majorBidi"/>
          <w:b/>
          <w:bCs/>
          <w:shd w:val="clear" w:color="auto" w:fill="FFFFFF"/>
        </w:rPr>
        <w:t xml:space="preserve"> : </w:t>
      </w:r>
      <w:r w:rsidR="001375A2">
        <w:t xml:space="preserve">La création d’une </w:t>
      </w:r>
      <w:proofErr w:type="spellStart"/>
      <w:r w:rsidR="001375A2">
        <w:t>marketplace</w:t>
      </w:r>
      <w:proofErr w:type="spellEnd"/>
      <w:r w:rsidR="001375A2">
        <w:t xml:space="preserv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 xml:space="preserve">paiement n’était pas intégré au processus de gestion de la </w:t>
      </w:r>
      <w:proofErr w:type="spellStart"/>
      <w:r w:rsidRPr="00F45D0C">
        <w:rPr>
          <w:rStyle w:val="Strong"/>
          <w:b w:val="0"/>
          <w:bCs w:val="0"/>
        </w:rPr>
        <w:t>marketplace</w:t>
      </w:r>
      <w:proofErr w:type="spellEnd"/>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 xml:space="preserve">La gestion des concessionnaires était répartie entre les différentes </w:t>
      </w:r>
      <w:proofErr w:type="spellStart"/>
      <w:r w:rsidR="00AA25A8">
        <w:t>marketplaces</w:t>
      </w:r>
      <w:proofErr w:type="spellEnd"/>
      <w:r w:rsidR="00AA25A8">
        <w:t>.</w:t>
      </w:r>
      <w:r w:rsidR="006441E2">
        <w:rPr>
          <w:rFonts w:asciiTheme="majorBidi" w:hAnsiTheme="majorBidi" w:cstheme="majorBidi"/>
          <w:b/>
          <w:bCs/>
        </w:rPr>
        <w:t xml:space="preserve"> </w:t>
      </w:r>
      <w:r w:rsidR="006441E2">
        <w:t xml:space="preserve">Lorsqu’un concessionnaire collaborait avec plusieurs banques, il devait gérer un compte et un espace distinct pour chaque </w:t>
      </w:r>
      <w:proofErr w:type="spellStart"/>
      <w:r w:rsidR="006441E2">
        <w:t>marketplace</w:t>
      </w:r>
      <w:proofErr w:type="spellEnd"/>
      <w:r w:rsidR="006441E2">
        <w:t>.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287511"/>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w:t>
      </w:r>
      <w:proofErr w:type="spellStart"/>
      <w:r w:rsidRPr="00C32D29">
        <w:rPr>
          <w:rFonts w:ascii="Times New Roman" w:eastAsia="Times New Roman" w:hAnsi="Times New Roman" w:cs="Times New Roman"/>
          <w:sz w:val="24"/>
          <w:szCs w:val="24"/>
          <w:lang w:eastAsia="fr-FR"/>
        </w:rPr>
        <w:t>marketplace</w:t>
      </w:r>
      <w:proofErr w:type="spellEnd"/>
      <w:r w:rsidRPr="00C32D29">
        <w:rPr>
          <w:rFonts w:ascii="Times New Roman" w:eastAsia="Times New Roman" w:hAnsi="Times New Roman" w:cs="Times New Roman"/>
          <w:sz w:val="24"/>
          <w:szCs w:val="24"/>
          <w:lang w:eastAsia="fr-FR"/>
        </w:rPr>
        <w:t xml:space="preserv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w:t>
      </w:r>
      <w:proofErr w:type="spellStart"/>
      <w:r w:rsidRPr="00C32D29">
        <w:t>marketplaces</w:t>
      </w:r>
      <w:proofErr w:type="spellEnd"/>
      <w:r w:rsidRPr="00C32D29">
        <w:t>,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287512"/>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proofErr w:type="spellStart"/>
      <w:r>
        <w:rPr>
          <w:rStyle w:val="Strong"/>
        </w:rPr>
        <w:t>Matchia</w:t>
      </w:r>
      <w:proofErr w:type="spellEnd"/>
      <w:r>
        <w:t xml:space="preserve">, une plateforme </w:t>
      </w:r>
      <w:proofErr w:type="spellStart"/>
      <w:r>
        <w:rPr>
          <w:rStyle w:val="Strong"/>
        </w:rPr>
        <w:t>SaaS</w:t>
      </w:r>
      <w:proofErr w:type="spellEnd"/>
      <w:r>
        <w:rPr>
          <w:rStyle w:val="Strong"/>
        </w:rPr>
        <w:t xml:space="preserve"> multi-tenant</w:t>
      </w:r>
      <w:r>
        <w:t xml:space="preserve"> permettant de centraliser la gestion de plusieurs </w:t>
      </w:r>
      <w:proofErr w:type="spellStart"/>
      <w:r>
        <w:t>marketplaces</w:t>
      </w:r>
      <w:proofErr w:type="spellEnd"/>
      <w:r>
        <w:t xml:space="preserve">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287513"/>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proofErr w:type="spellStart"/>
      <w:r>
        <w:rPr>
          <w:rStyle w:val="Strong"/>
        </w:rPr>
        <w:t>Scrum</w:t>
      </w:r>
      <w:proofErr w:type="spellEnd"/>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287514"/>
      <w:r w:rsidR="000800D4" w:rsidRPr="000800D4">
        <w:rPr>
          <w:rFonts w:asciiTheme="majorBidi" w:hAnsiTheme="majorBidi"/>
          <w:b/>
          <w:bCs/>
          <w:color w:val="000000" w:themeColor="text1"/>
          <w:sz w:val="28"/>
          <w:szCs w:val="28"/>
        </w:rPr>
        <w:t xml:space="preserve">Le cycle de vie de </w:t>
      </w:r>
      <w:proofErr w:type="spellStart"/>
      <w:r w:rsidR="000800D4" w:rsidRPr="000800D4">
        <w:rPr>
          <w:rFonts w:asciiTheme="majorBidi" w:hAnsiTheme="majorBidi"/>
          <w:b/>
          <w:bCs/>
          <w:color w:val="000000" w:themeColor="text1"/>
          <w:sz w:val="28"/>
          <w:szCs w:val="28"/>
        </w:rPr>
        <w:t>Scrum</w:t>
      </w:r>
      <w:bookmarkEnd w:id="23"/>
      <w:proofErr w:type="spellEnd"/>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proofErr w:type="spellStart"/>
      <w:r w:rsidRPr="000800D4">
        <w:rPr>
          <w:rStyle w:val="Strong"/>
          <w:b w:val="0"/>
          <w:bCs w:val="0"/>
        </w:rPr>
        <w:t>Scrum</w:t>
      </w:r>
      <w:proofErr w:type="spellEnd"/>
      <w:r w:rsidRPr="000800D4">
        <w:t xml:space="preserve"> débute par la définition des </w:t>
      </w:r>
      <w:r w:rsidRPr="000800D4">
        <w:rPr>
          <w:rStyle w:val="Strong"/>
        </w:rPr>
        <w:t>User Stories</w:t>
      </w:r>
      <w:r w:rsidRPr="000800D4">
        <w:t xml:space="preserve"> par le Product </w:t>
      </w:r>
      <w:proofErr w:type="spellStart"/>
      <w:r w:rsidRPr="000800D4">
        <w:t>Owner</w:t>
      </w:r>
      <w:proofErr w:type="spellEnd"/>
      <w:r w:rsidRPr="000800D4">
        <w:t xml:space="preserve">, qui les ajoute et les priorise dans le </w:t>
      </w:r>
      <w:r w:rsidRPr="000800D4">
        <w:rPr>
          <w:rStyle w:val="Strong"/>
        </w:rPr>
        <w:t xml:space="preserve">Product </w:t>
      </w:r>
      <w:proofErr w:type="spellStart"/>
      <w:r w:rsidRPr="000800D4">
        <w:rPr>
          <w:rStyle w:val="Strong"/>
        </w:rPr>
        <w:t>Backlog</w:t>
      </w:r>
      <w:proofErr w:type="spellEnd"/>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 xml:space="preserve">Sprint </w:t>
      </w:r>
      <w:proofErr w:type="spellStart"/>
      <w:r w:rsidRPr="000800D4">
        <w:rPr>
          <w:rStyle w:val="Strong"/>
        </w:rPr>
        <w:t>Backlog</w:t>
      </w:r>
      <w:proofErr w:type="spellEnd"/>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 xml:space="preserve">Daily </w:t>
      </w:r>
      <w:proofErr w:type="spellStart"/>
      <w:r w:rsidRPr="000800D4">
        <w:rPr>
          <w:rStyle w:val="Strong"/>
        </w:rPr>
        <w:t>Scrum</w:t>
      </w:r>
      <w:proofErr w:type="spellEnd"/>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 xml:space="preserve">Sprint </w:t>
      </w:r>
      <w:proofErr w:type="spellStart"/>
      <w:r w:rsidRPr="000800D4">
        <w:rPr>
          <w:rStyle w:val="Strong"/>
        </w:rPr>
        <w:t>Review</w:t>
      </w:r>
      <w:proofErr w:type="spellEnd"/>
      <w:r w:rsidRPr="000800D4">
        <w:t xml:space="preserve">, puis l’équipe analyse son organisation et les améliorations possibles durant la </w:t>
      </w:r>
      <w:r w:rsidRPr="000800D4">
        <w:rPr>
          <w:rStyle w:val="Strong"/>
        </w:rPr>
        <w:t xml:space="preserve">Sprint </w:t>
      </w:r>
      <w:proofErr w:type="spellStart"/>
      <w:r w:rsidRPr="000800D4">
        <w:rPr>
          <w:rStyle w:val="Strong"/>
        </w:rPr>
        <w:t>Retrospective</w:t>
      </w:r>
      <w:proofErr w:type="spellEnd"/>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287515"/>
      <w:r w:rsidR="000800D4" w:rsidRPr="000800D4">
        <w:rPr>
          <w:rFonts w:asciiTheme="majorBidi" w:hAnsiTheme="majorBidi"/>
          <w:b/>
          <w:bCs/>
          <w:color w:val="000000" w:themeColor="text1"/>
          <w:sz w:val="28"/>
          <w:szCs w:val="28"/>
        </w:rPr>
        <w:t xml:space="preserve">L’équipe de </w:t>
      </w:r>
      <w:proofErr w:type="spellStart"/>
      <w:r w:rsidR="000800D4" w:rsidRPr="000800D4">
        <w:rPr>
          <w:rFonts w:asciiTheme="majorBidi" w:hAnsiTheme="majorBidi"/>
          <w:b/>
          <w:bCs/>
          <w:color w:val="000000" w:themeColor="text1"/>
          <w:sz w:val="28"/>
          <w:szCs w:val="28"/>
        </w:rPr>
        <w:t>Scrum</w:t>
      </w:r>
      <w:bookmarkEnd w:id="25"/>
      <w:proofErr w:type="spellEnd"/>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 xml:space="preserve">Product </w:t>
      </w:r>
      <w:proofErr w:type="spellStart"/>
      <w:r w:rsidRPr="002E2F64">
        <w:rPr>
          <w:rFonts w:ascii="Times New Roman" w:eastAsia="Times New Roman" w:hAnsi="Times New Roman" w:cs="Times New Roman"/>
          <w:b/>
          <w:bCs/>
          <w:sz w:val="24"/>
          <w:szCs w:val="24"/>
          <w:lang w:eastAsia="fr-FR"/>
        </w:rPr>
        <w:t>Owner</w:t>
      </w:r>
      <w:proofErr w:type="spellEnd"/>
      <w:r w:rsidRPr="002E2F64">
        <w:rPr>
          <w:rFonts w:ascii="Times New Roman" w:eastAsia="Times New Roman" w:hAnsi="Times New Roman" w:cs="Times New Roman"/>
          <w:b/>
          <w:bCs/>
          <w:sz w:val="24"/>
          <w:szCs w:val="24"/>
          <w:lang w:eastAsia="fr-FR"/>
        </w:rPr>
        <w:t xml:space="preserve"> :</w:t>
      </w:r>
      <w:r w:rsidRPr="002E2F64">
        <w:rPr>
          <w:rFonts w:ascii="Times New Roman" w:eastAsia="Times New Roman" w:hAnsi="Times New Roman" w:cs="Times New Roman"/>
          <w:sz w:val="24"/>
          <w:szCs w:val="24"/>
          <w:lang w:eastAsia="fr-FR"/>
        </w:rPr>
        <w:t xml:space="preserve"> identifie les besoins fonctionnels, définit les priorités du Product </w:t>
      </w:r>
      <w:proofErr w:type="spellStart"/>
      <w:r w:rsidRPr="002E2F64">
        <w:rPr>
          <w:rFonts w:ascii="Times New Roman" w:eastAsia="Times New Roman" w:hAnsi="Times New Roman" w:cs="Times New Roman"/>
          <w:sz w:val="24"/>
          <w:szCs w:val="24"/>
          <w:lang w:eastAsia="fr-FR"/>
        </w:rPr>
        <w:t>Backlog</w:t>
      </w:r>
      <w:proofErr w:type="spellEnd"/>
      <w:r w:rsidRPr="002E2F64">
        <w:rPr>
          <w:rFonts w:ascii="Times New Roman" w:eastAsia="Times New Roman" w:hAnsi="Times New Roman" w:cs="Times New Roman"/>
          <w:sz w:val="24"/>
          <w:szCs w:val="24"/>
          <w:lang w:eastAsia="fr-FR"/>
        </w:rPr>
        <w:t xml:space="preserve">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proofErr w:type="spellStart"/>
      <w:r w:rsidRPr="002E2F64">
        <w:rPr>
          <w:rFonts w:ascii="Times New Roman" w:eastAsia="Times New Roman" w:hAnsi="Times New Roman" w:cs="Times New Roman"/>
          <w:b/>
          <w:bCs/>
          <w:sz w:val="24"/>
          <w:szCs w:val="24"/>
          <w:lang w:eastAsia="fr-FR"/>
        </w:rPr>
        <w:t>Scrum</w:t>
      </w:r>
      <w:proofErr w:type="spellEnd"/>
      <w:r w:rsidRPr="002E2F64">
        <w:rPr>
          <w:rFonts w:ascii="Times New Roman" w:eastAsia="Times New Roman" w:hAnsi="Times New Roman" w:cs="Times New Roman"/>
          <w:b/>
          <w:bCs/>
          <w:sz w:val="24"/>
          <w:szCs w:val="24"/>
          <w:lang w:eastAsia="fr-FR"/>
        </w:rPr>
        <w:t xml:space="preserve"> Master :</w:t>
      </w:r>
      <w:r w:rsidRPr="002E2F64">
        <w:rPr>
          <w:rFonts w:ascii="Times New Roman" w:eastAsia="Times New Roman" w:hAnsi="Times New Roman" w:cs="Times New Roman"/>
          <w:sz w:val="24"/>
          <w:szCs w:val="24"/>
          <w:lang w:eastAsia="fr-FR"/>
        </w:rPr>
        <w:t xml:space="preserve"> facilite l’application de </w:t>
      </w:r>
      <w:proofErr w:type="spellStart"/>
      <w:r w:rsidRPr="002E2F64">
        <w:rPr>
          <w:rFonts w:ascii="Times New Roman" w:eastAsia="Times New Roman" w:hAnsi="Times New Roman" w:cs="Times New Roman"/>
          <w:sz w:val="24"/>
          <w:szCs w:val="24"/>
          <w:lang w:eastAsia="fr-FR"/>
        </w:rPr>
        <w:t>Scrum</w:t>
      </w:r>
      <w:proofErr w:type="spellEnd"/>
      <w:r w:rsidRPr="002E2F64">
        <w:rPr>
          <w:rFonts w:ascii="Times New Roman" w:eastAsia="Times New Roman" w:hAnsi="Times New Roman" w:cs="Times New Roman"/>
          <w:sz w:val="24"/>
          <w:szCs w:val="24"/>
          <w:lang w:eastAsia="fr-FR"/>
        </w:rPr>
        <w:t xml:space="preserve">,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pPr>
        <w:pStyle w:val="ListParagraph"/>
        <w:numPr>
          <w:ilvl w:val="0"/>
          <w:numId w:val="1"/>
        </w:num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Planification Agile du projet</w:t>
      </w:r>
    </w:p>
    <w:p>
      <w:pPr>
        <w:pStyle w:val="gjcqjg1a"/>
        <w:spacing w:line="360" w:lineRule="auto"/>
        <w:jc w:val="both"/>
      </w:pPr>
      <w:r>
        <w:t>La planification du projet s’appuie sur l’approche Agile Scrum. Le Product Backlog est organisé par incréments fonctionnels cohérents avec la structure des chapitres de réalisation. Chaque sprint, prévu sur deux semaines, produit un ensemble de fonctionnalités testables et directement rattachées à une section ou à un sous-titre du rapport.</w:t>
      </w:r>
    </w:p>
    <w:p>
      <w:pPr>
        <w:pStyle w:val="gjcqjg1a"/>
        <w:spacing w:line="360" w:lineRule="auto"/>
        <w:jc w:val="both"/>
      </w:pPr>
      <w:r>
        <w:t>Deux releases structurent cette planification. La première couvre la réalisation du socle SaaS et le cycle de vie complet de la marketplace bancaire. La seconde regroupe les parcours des concessionnaires et des clients, ainsi que les assistants conversationnels. Selon l’ampleur fonctionnelle, un titre de chapitre peut être réalisé par plusieurs sprints, tandis qu’un sous-titre ciblé peut correspondre à un sprint unique.</w:t>
      </w:r>
    </w:p>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1 — SaaS bancaire, onboarding et activation de la marketplace</w:t>
      </w:r>
    </w:p>
    <w:p>
      <w:pPr>
        <w:pStyle w:val="gjcqjg1a"/>
        <w:spacing w:line="360" w:lineRule="auto"/>
        <w:jc w:val="both"/>
      </w:pPr>
      <w:r>
        <w:t>Cette release correspond aux principales sections du chapitre 4. Elle permet de livrer progressivement le socle multi-tenant, la demande de création de marketplace, l’administration SaaS, le paiement puis les espaces bancaire et public.</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c>
          <w:tcPr>
            <w:tcW w:type="dxa" w:w="1210"/>
            <w:vAlign w:val="center"/>
          </w:tcPr>
          <w:p>
            <w:pPr>
              <w:spacing w:after="40" w:before="0"/>
              <w:jc w:val="center"/>
            </w:pPr>
            <w:r>
              <w:rPr>
                <w:b/>
                <w:sz w:val="19"/>
              </w:rPr>
              <w:t>S1</w:t>
            </w:r>
          </w:p>
        </w:tc>
        <w:tc>
          <w:tcPr>
            <w:tcW w:type="dxa" w:w="2540"/>
            <w:vAlign w:val="center"/>
          </w:tcPr>
          <w:p>
            <w:pPr>
              <w:spacing w:after="40" w:before="0"/>
              <w:jc w:val="center"/>
            </w:pPr>
            <w:r>
              <w:rPr>
                <w:b/>
                <w:sz w:val="19"/>
              </w:rPr>
              <w:t>Socle SaaS multi-tenant</w:t>
            </w:r>
          </w:p>
        </w:tc>
        <w:tc>
          <w:tcPr>
            <w:tcW w:type="dxa" w:w="5322"/>
            <w:vAlign w:val="center"/>
          </w:tcPr>
          <w:p>
            <w:pPr>
              <w:spacing w:after="40" w:before="0"/>
              <w:jc w:val="center"/>
            </w:pPr>
            <w:r>
              <w:rPr>
                <w:b/>
                <w:sz w:val="19"/>
              </w:rPr>
              <w:t>Authentification, gestion des sessions, autorisation par rôles et application du contexte multi-tenant afin d’isoler les données de chaque banque.</w:t>
            </w:r>
          </w:p>
        </w:tc>
      </w:tr>
      <w:tr>
        <w:tc>
          <w:tcPr>
            <w:tcW w:type="dxa" w:w="1210"/>
            <w:vAlign w:val="center"/>
          </w:tcPr>
          <w:p>
            <w:pPr>
              <w:spacing w:after="40" w:before="0"/>
              <w:jc w:val="center"/>
            </w:pPr>
            <w:r>
              <w:rPr>
                <w:b/>
                <w:sz w:val="19"/>
              </w:rPr>
              <w:t>S2</w:t>
            </w:r>
          </w:p>
        </w:tc>
        <w:tc>
          <w:tcPr>
            <w:tcW w:type="dxa" w:w="2540"/>
            <w:vAlign w:val="center"/>
          </w:tcPr>
          <w:p>
            <w:pPr>
              <w:spacing w:after="40" w:before="0"/>
              <w:jc w:val="center"/>
            </w:pPr>
            <w:r>
              <w:rPr>
                <w:b/>
                <w:sz w:val="19"/>
              </w:rPr>
              <w:t>Demande de création de marketplace</w:t>
            </w:r>
          </w:p>
        </w:tc>
        <w:tc>
          <w:tcPr>
            <w:tcW w:type="dxa" w:w="5322"/>
            <w:vAlign w:val="center"/>
          </w:tcPr>
          <w:p>
            <w:pPr>
              <w:spacing w:after="40" w:before="0"/>
              <w:jc w:val="center"/>
            </w:pPr>
            <w:r>
              <w:rPr>
                <w:b/>
                <w:sz w:val="19"/>
              </w:rPr>
              <w:t>Informations de la banque, futur Administrateur Banque, vérification de l’e-mail, slug, identité visuelle, stores, modules, récapitulatif et soumission.</w:t>
            </w:r>
          </w:p>
        </w:tc>
      </w:tr>
      <w:tr>
        <w:tc>
          <w:tcPr>
            <w:tcW w:type="dxa" w:w="1210"/>
            <w:vAlign w:val="center"/>
          </w:tcPr>
          <w:p>
            <w:pPr>
              <w:spacing w:after="40" w:before="0"/>
              <w:jc w:val="center"/>
            </w:pPr>
            <w:r>
              <w:rPr>
                <w:b/>
                <w:sz w:val="19"/>
              </w:rPr>
              <w:t>S3</w:t>
            </w:r>
          </w:p>
        </w:tc>
        <w:tc>
          <w:tcPr>
            <w:tcW w:type="dxa" w:w="2540"/>
            <w:vAlign w:val="center"/>
          </w:tcPr>
          <w:p>
            <w:pPr>
              <w:spacing w:after="40" w:before="0"/>
              <w:jc w:val="center"/>
            </w:pPr>
            <w:r>
              <w:rPr>
                <w:b/>
                <w:sz w:val="19"/>
              </w:rPr>
              <w:t>Back-office SaaS</w:t>
            </w:r>
          </w:p>
        </w:tc>
        <w:tc>
          <w:tcPr>
            <w:tcW w:type="dxa" w:w="5322"/>
            <w:vAlign w:val="center"/>
          </w:tcPr>
          <w:p>
            <w:pPr>
              <w:spacing w:after="40" w:before="0"/>
              <w:jc w:val="center"/>
            </w:pPr>
            <w:r>
              <w:rPr>
                <w:b/>
                <w:sz w:val="19"/>
              </w:rPr>
              <w:t>Tableau de bord, stores et modules, banques, utilisateurs et rôles, concessionnaires, marketplaces, contenus, offres, abonnements, audit, logs et paramètres.</w:t>
            </w:r>
          </w:p>
        </w:tc>
      </w:tr>
      <w:tr>
        <w:tc>
          <w:tcPr>
            <w:tcW w:type="dxa" w:w="1210"/>
            <w:vAlign w:val="center"/>
          </w:tcPr>
          <w:p>
            <w:pPr>
              <w:spacing w:after="40" w:before="0"/>
              <w:jc w:val="center"/>
            </w:pPr>
            <w:r>
              <w:rPr>
                <w:b/>
                <w:sz w:val="19"/>
              </w:rPr>
              <w:t>S4</w:t>
            </w:r>
          </w:p>
        </w:tc>
        <w:tc>
          <w:tcPr>
            <w:tcW w:type="dxa" w:w="2540"/>
            <w:vAlign w:val="center"/>
          </w:tcPr>
          <w:p>
            <w:pPr>
              <w:spacing w:after="40" w:before="0"/>
              <w:jc w:val="center"/>
            </w:pPr>
            <w:r>
              <w:rPr>
                <w:b/>
                <w:sz w:val="19"/>
              </w:rPr>
              <w:t>Traitement, paiement et activation</w:t>
            </w:r>
          </w:p>
        </w:tc>
        <w:tc>
          <w:tcPr>
            <w:tcW w:type="dxa" w:w="5322"/>
            <w:vAlign w:val="center"/>
          </w:tcPr>
          <w:p>
            <w:pPr>
              <w:spacing w:after="40" w:before="0"/>
              <w:jc w:val="center"/>
            </w:pPr>
            <w:r>
              <w:rPr>
                <w:b/>
                <w:sz w:val="19"/>
              </w:rPr>
              <w:t>Consultation des demandes, approbation ou rejet avec motif, e-mails, lien Stripe, contrôle du paiement, activation de la banque, de la marketplace, de l’abonnement et du compte Administrateur Banque.</w:t>
            </w:r>
          </w:p>
        </w:tc>
      </w:tr>
      <w:tr>
        <w:tc>
          <w:tcPr>
            <w:tcW w:type="dxa" w:w="1210"/>
            <w:vAlign w:val="center"/>
          </w:tcPr>
          <w:p>
            <w:pPr>
              <w:spacing w:after="40" w:before="0"/>
              <w:jc w:val="center"/>
            </w:pPr>
            <w:r>
              <w:rPr>
                <w:b/>
                <w:sz w:val="19"/>
              </w:rPr>
              <w:t>S5</w:t>
            </w:r>
          </w:p>
        </w:tc>
        <w:tc>
          <w:tcPr>
            <w:tcW w:type="dxa" w:w="2540"/>
            <w:vAlign w:val="center"/>
          </w:tcPr>
          <w:p>
            <w:pPr>
              <w:spacing w:after="40" w:before="0"/>
              <w:jc w:val="center"/>
            </w:pPr>
            <w:r>
              <w:rPr>
                <w:b/>
                <w:sz w:val="19"/>
              </w:rPr>
              <w:t>Back-office Banque et marketplace publique</w:t>
            </w:r>
          </w:p>
        </w:tc>
        <w:tc>
          <w:tcPr>
            <w:tcW w:type="dxa" w:w="5322"/>
            <w:vAlign w:val="center"/>
          </w:tcPr>
          <w:p>
            <w:pPr>
              <w:spacing w:after="40" w:before="0"/>
              <w:jc w:val="center"/>
            </w:pPr>
            <w:r>
              <w:rPr>
                <w:b/>
                <w:sz w:val="19"/>
              </w:rPr>
              <w:t>Personnalisation et contenus, configuration des stores et modules, renouvellement ou ajout de services, accueil public, produits, comparateur, simulateur, chatbot et demande de financement.</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Release 2 — Parcours des concessionnaires, des clients et assistants conversationnels</w:t>
      </w:r>
    </w:p>
    <w:p>
      <w:pPr>
        <w:pStyle w:val="gjcqjg1a"/>
        <w:spacing w:line="360" w:lineRule="auto"/>
        <w:jc w:val="both"/>
      </w:pPr>
      <w:r>
        <w:t>Cette release correspond aux sections du chapitre 5. Elle traite les parcours métier qui complètent l’exploitation de la marketplace, depuis l’inscription des concessionnaires jusqu’au dépôt et au traitement des demandes de financement des clients.</w:t>
      </w:r>
    </w:p>
    <w:tbl>
      <w:tblPr>
        <w:tblStyle w:val="GridTable1Light-Accent1"/>
        <w:tblW w:type="dxa" w:w="9072"/>
        <w:jc w:val="left"/>
        <w:tblLayout w:type="fixed"/>
        <w:tblLook w:firstColumn="1" w:firstRow="1" w:lastColumn="0" w:lastRow="0" w:noHBand="0" w:noVBand="1" w:val="04A0"/>
        <w:tblInd w:type="dxa" w:w="120"/>
      </w:tblPr>
      <w:tblGrid>
        <w:gridCol w:w="1210"/>
        <w:gridCol w:w="2540"/>
        <w:gridCol w:w="5322"/>
      </w:tblGrid>
      <w:tr>
        <w:trPr/>
        <w:tc>
          <w:tcPr>
            <w:tcW w:type="dxa" w:w="1210"/>
            <w:vAlign w:val="center"/>
            <w:tcMar>
              <w:top w:w="80" w:type="dxa"/>
              <w:bottom w:w="80" w:type="dxa"/>
              <w:start w:w="120" w:type="dxa"/>
              <w:end w:w="120" w:type="dxa"/>
            </w:tcMar>
          </w:tcPr>
          <w:p>
            <w:pPr>
              <w:spacing w:after="40" w:before="0"/>
              <w:jc w:val="center"/>
            </w:pPr>
            <w:r/>
            <w:r>
              <w:rPr>
                <w:b/>
                <w:sz w:val="19"/>
              </w:rPr>
              <w:t>Sprint</w:t>
            </w:r>
          </w:p>
        </w:tc>
        <w:tc>
          <w:tcPr>
            <w:tcW w:type="dxa" w:w="2540"/>
            <w:vAlign w:val="center"/>
            <w:tcMar>
              <w:top w:w="80" w:type="dxa"/>
              <w:bottom w:w="80" w:type="dxa"/>
              <w:start w:w="120" w:type="dxa"/>
              <w:end w:w="120" w:type="dxa"/>
            </w:tcMar>
          </w:tcPr>
          <w:p>
            <w:pPr>
              <w:spacing w:after="40" w:before="0"/>
              <w:jc w:val="center"/>
            </w:pPr>
            <w:r/>
            <w:r>
              <w:rPr>
                <w:b/>
                <w:sz w:val="19"/>
              </w:rPr>
              <w:t>Objectif</w:t>
            </w:r>
          </w:p>
        </w:tc>
        <w:tc>
          <w:tcPr>
            <w:tcW w:type="dxa" w:w="5322"/>
            <w:vAlign w:val="center"/>
            <w:tcMar>
              <w:top w:w="80" w:type="dxa"/>
              <w:bottom w:w="80" w:type="dxa"/>
              <w:start w:w="120" w:type="dxa"/>
              <w:end w:w="120" w:type="dxa"/>
            </w:tcMar>
          </w:tcPr>
          <w:p>
            <w:pPr>
              <w:spacing w:after="40" w:before="0"/>
              <w:jc w:val="center"/>
            </w:pPr>
            <w:r/>
            <w:r>
              <w:rPr>
                <w:b/>
                <w:sz w:val="19"/>
              </w:rPr>
              <w:t>Éléments clés du backlog</w:t>
            </w:r>
          </w:p>
        </w:tc>
      </w:tr>
      <w:tr>
        <w:tc>
          <w:tcPr>
            <w:tcW w:type="dxa" w:w="1210"/>
            <w:vAlign w:val="center"/>
          </w:tcPr>
          <w:p>
            <w:pPr>
              <w:spacing w:after="40" w:before="0"/>
              <w:jc w:val="center"/>
            </w:pPr>
            <w:r>
              <w:rPr>
                <w:b/>
                <w:sz w:val="19"/>
              </w:rPr>
              <w:t>S6</w:t>
            </w:r>
          </w:p>
        </w:tc>
        <w:tc>
          <w:tcPr>
            <w:tcW w:type="dxa" w:w="2540"/>
            <w:vAlign w:val="center"/>
          </w:tcPr>
          <w:p>
            <w:pPr>
              <w:spacing w:after="40" w:before="0"/>
              <w:jc w:val="center"/>
            </w:pPr>
            <w:r>
              <w:rPr>
                <w:b/>
                <w:sz w:val="19"/>
              </w:rPr>
              <w:t>Inscription et validation du concessionnaire</w:t>
            </w:r>
          </w:p>
        </w:tc>
        <w:tc>
          <w:tcPr>
            <w:tcW w:type="dxa" w:w="5322"/>
            <w:vAlign w:val="center"/>
          </w:tcPr>
          <w:p>
            <w:pPr>
              <w:spacing w:after="40" w:before="0"/>
              <w:jc w:val="center"/>
            </w:pPr>
            <w:r>
              <w:rPr>
                <w:b/>
                <w:sz w:val="19"/>
              </w:rPr>
              <w:t>Demande d’inscription, dépôt des pièces justificatives, contrôle SaaS, création du compte et e-mail des identifiants.</w:t>
            </w:r>
          </w:p>
        </w:tc>
      </w:tr>
      <w:tr>
        <w:tc>
          <w:tcPr>
            <w:tcW w:type="dxa" w:w="1210"/>
            <w:vAlign w:val="center"/>
          </w:tcPr>
          <w:p>
            <w:pPr>
              <w:spacing w:after="40" w:before="0"/>
              <w:jc w:val="center"/>
            </w:pPr>
            <w:r>
              <w:rPr>
                <w:b/>
                <w:sz w:val="19"/>
              </w:rPr>
              <w:t>S7</w:t>
            </w:r>
          </w:p>
        </w:tc>
        <w:tc>
          <w:tcPr>
            <w:tcW w:type="dxa" w:w="2540"/>
            <w:vAlign w:val="center"/>
          </w:tcPr>
          <w:p>
            <w:pPr>
              <w:spacing w:after="40" w:before="0"/>
              <w:jc w:val="center"/>
            </w:pPr>
            <w:r>
              <w:rPr>
                <w:b/>
                <w:sz w:val="19"/>
              </w:rPr>
              <w:t>Partenariats et contrats</w:t>
            </w:r>
          </w:p>
        </w:tc>
        <w:tc>
          <w:tcPr>
            <w:tcW w:type="dxa" w:w="5322"/>
            <w:vAlign w:val="center"/>
          </w:tcPr>
          <w:p>
            <w:pPr>
              <w:spacing w:after="40" w:before="0"/>
              <w:jc w:val="center"/>
            </w:pPr>
            <w:r>
              <w:rPr>
                <w:b/>
                <w:sz w:val="19"/>
              </w:rPr>
              <w:t>Demandes initiées par la banque ou le concessionnaire, validation, cycle de vie du contrat et gestion des conditions de collaboration.</w:t>
            </w:r>
          </w:p>
        </w:tc>
      </w:tr>
      <w:tr>
        <w:tc>
          <w:tcPr>
            <w:tcW w:type="dxa" w:w="1210"/>
            <w:vAlign w:val="center"/>
          </w:tcPr>
          <w:p>
            <w:pPr>
              <w:spacing w:after="40" w:before="0"/>
              <w:jc w:val="center"/>
            </w:pPr>
            <w:r>
              <w:rPr>
                <w:b/>
                <w:sz w:val="19"/>
              </w:rPr>
              <w:t>S8</w:t>
            </w:r>
          </w:p>
        </w:tc>
        <w:tc>
          <w:tcPr>
            <w:tcW w:type="dxa" w:w="2540"/>
            <w:vAlign w:val="center"/>
          </w:tcPr>
          <w:p>
            <w:pPr>
              <w:spacing w:after="40" w:before="0"/>
              <w:jc w:val="center"/>
            </w:pPr>
            <w:r>
              <w:rPr>
                <w:b/>
                <w:sz w:val="19"/>
              </w:rPr>
              <w:t>Produits, publications et suivi des dossiers</w:t>
            </w:r>
          </w:p>
        </w:tc>
        <w:tc>
          <w:tcPr>
            <w:tcW w:type="dxa" w:w="5322"/>
            <w:vAlign w:val="center"/>
          </w:tcPr>
          <w:p>
            <w:pPr>
              <w:spacing w:after="40" w:before="0"/>
              <w:jc w:val="center"/>
            </w:pPr>
            <w:r>
              <w:rPr>
                <w:b/>
                <w:sz w:val="19"/>
              </w:rPr>
              <w:t>Catalogue centralisé, stock, publications par marketplace et consultation des demandes de financement associées aux produits.</w:t>
            </w:r>
          </w:p>
        </w:tc>
      </w:tr>
      <w:tr>
        <w:tc>
          <w:tcPr>
            <w:tcW w:type="dxa" w:w="1210"/>
            <w:vAlign w:val="center"/>
          </w:tcPr>
          <w:p>
            <w:pPr>
              <w:spacing w:after="40" w:before="0"/>
              <w:jc w:val="center"/>
            </w:pPr>
            <w:r>
              <w:rPr>
                <w:b/>
                <w:sz w:val="19"/>
              </w:rPr>
              <w:t>S9</w:t>
            </w:r>
          </w:p>
        </w:tc>
        <w:tc>
          <w:tcPr>
            <w:tcW w:type="dxa" w:w="2540"/>
            <w:vAlign w:val="center"/>
          </w:tcPr>
          <w:p>
            <w:pPr>
              <w:spacing w:after="40" w:before="0"/>
              <w:jc w:val="center"/>
            </w:pPr>
            <w:r>
              <w:rPr>
                <w:b/>
                <w:sz w:val="19"/>
              </w:rPr>
              <w:t>Parcours client et demande de financement</w:t>
            </w:r>
          </w:p>
        </w:tc>
        <w:tc>
          <w:tcPr>
            <w:tcW w:type="dxa" w:w="5322"/>
            <w:vAlign w:val="center"/>
          </w:tcPr>
          <w:p>
            <w:pPr>
              <w:spacing w:after="40" w:before="0"/>
              <w:jc w:val="center"/>
            </w:pPr>
            <w:r>
              <w:rPr>
                <w:b/>
                <w:sz w:val="19"/>
              </w:rPr>
              <w:t>Inscription et vérification du compte, consultation, comparaison, simulation, constitution et traitement du dossier.</w:t>
            </w:r>
          </w:p>
        </w:tc>
      </w:tr>
      <w:tr>
        <w:tc>
          <w:tcPr>
            <w:tcW w:type="dxa" w:w="1210"/>
            <w:vAlign w:val="center"/>
          </w:tcPr>
          <w:p>
            <w:pPr>
              <w:spacing w:after="40" w:before="0"/>
              <w:jc w:val="center"/>
            </w:pPr>
            <w:r>
              <w:rPr>
                <w:b/>
                <w:sz w:val="19"/>
              </w:rPr>
              <w:t>S10</w:t>
            </w:r>
          </w:p>
        </w:tc>
        <w:tc>
          <w:tcPr>
            <w:tcW w:type="dxa" w:w="2540"/>
            <w:vAlign w:val="center"/>
          </w:tcPr>
          <w:p>
            <w:pPr>
              <w:spacing w:after="40" w:before="0"/>
              <w:jc w:val="center"/>
            </w:pPr>
            <w:r>
              <w:rPr>
                <w:b/>
                <w:sz w:val="19"/>
              </w:rPr>
              <w:t>Assistants conversationnels et validation</w:t>
            </w:r>
          </w:p>
        </w:tc>
        <w:tc>
          <w:tcPr>
            <w:tcW w:type="dxa" w:w="5322"/>
            <w:vAlign w:val="center"/>
          </w:tcPr>
          <w:p>
            <w:pPr>
              <w:spacing w:after="40" w:before="0"/>
              <w:jc w:val="center"/>
            </w:pPr>
            <w:r>
              <w:rPr>
                <w:b/>
                <w:sz w:val="19"/>
              </w:rPr>
              <w:t>Assistant IA du SaaS, chatbot public à règles métier, contrôle des accès, tests et validation fonctionnelle globale.</w:t>
            </w:r>
          </w:p>
        </w:tc>
      </w:tr>
    </w:tbl>
    <w:p>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Correspondance entre les titres de réalisation et les sprints</w:t>
      </w:r>
    </w:p>
    <w:p>
      <w:pPr>
        <w:pStyle w:val="gjcqjg1a"/>
        <w:spacing w:line="360" w:lineRule="auto"/>
        <w:jc w:val="both"/>
      </w:pPr>
      <w:r>
        <w:t>Le tableau suivant explicite le rattachement entre la structure fonctionnelle du rapport et les incréments prévus dans le Product Backlog.</w:t>
      </w:r>
    </w:p>
    <w:tbl>
      <w:tblPr>
        <w:tblStyle w:val="GridTable1Light-Accent1"/>
        <w:tblW w:type="auto" w:w="0"/>
        <w:tblLayout w:type="fixed"/>
        <w:tblLook w:firstColumn="1" w:firstRow="1" w:lastColumn="0" w:lastRow="0" w:noHBand="0" w:noVBand="1" w:val="04A0"/>
      </w:tblPr>
      <w:tblGrid>
        <w:gridCol w:w="3024"/>
        <w:gridCol w:w="3024"/>
        <w:gridCol w:w="3024"/>
      </w:tblGrid>
      <w:tr>
        <w:tc>
          <w:tcPr>
            <w:tcW w:type="dxa" w:w="1210"/>
            <w:vAlign w:val="center"/>
          </w:tcPr>
          <w:p>
            <w:pPr>
              <w:spacing w:after="40" w:before="0"/>
              <w:jc w:val="center"/>
            </w:pPr>
            <w:r>
              <w:rPr>
                <w:b/>
                <w:sz w:val="19"/>
              </w:rPr>
              <w:t>Titre ou sous-titre de réalisation</w:t>
            </w:r>
          </w:p>
        </w:tc>
        <w:tc>
          <w:tcPr>
            <w:tcW w:type="dxa" w:w="2540"/>
            <w:vAlign w:val="center"/>
          </w:tcPr>
          <w:p>
            <w:pPr>
              <w:spacing w:after="40" w:before="0"/>
              <w:jc w:val="center"/>
            </w:pPr>
            <w:r>
              <w:rPr>
                <w:b/>
                <w:sz w:val="19"/>
              </w:rPr>
              <w:t>Sprint</w:t>
            </w:r>
          </w:p>
        </w:tc>
        <w:tc>
          <w:tcPr>
            <w:tcW w:type="dxa" w:w="5322"/>
            <w:vAlign w:val="center"/>
          </w:tcPr>
          <w:p>
            <w:pPr>
              <w:spacing w:after="40" w:before="0"/>
              <w:jc w:val="center"/>
            </w:pPr>
            <w:r>
              <w:rPr>
                <w:b/>
                <w:sz w:val="19"/>
              </w:rPr>
              <w:t>Incrément fonctionnel livré</w:t>
            </w:r>
          </w:p>
        </w:tc>
      </w:tr>
      <w:tr>
        <w:tc>
          <w:tcPr>
            <w:tcW w:type="dxa" w:w="3024"/>
            <w:vAlign w:val="center"/>
          </w:tcPr>
          <w:p>
            <w:pPr>
              <w:spacing w:after="40" w:before="0"/>
              <w:jc w:val="center"/>
            </w:pPr>
            <w:r>
              <w:rPr>
                <w:b/>
                <w:sz w:val="19"/>
              </w:rPr>
              <w:t>Chapitre 4 — Authentification, autorisation et contexte multi-tenant</w:t>
            </w:r>
          </w:p>
        </w:tc>
        <w:tc>
          <w:tcPr>
            <w:tcW w:type="dxa" w:w="3024"/>
            <w:vAlign w:val="center"/>
          </w:tcPr>
          <w:p>
            <w:pPr>
              <w:spacing w:after="40" w:before="0"/>
              <w:jc w:val="center"/>
            </w:pPr>
            <w:r>
              <w:rPr>
                <w:b/>
                <w:sz w:val="19"/>
              </w:rPr>
              <w:t>S1</w:t>
            </w:r>
          </w:p>
        </w:tc>
        <w:tc>
          <w:tcPr>
            <w:tcW w:type="dxa" w:w="3024"/>
            <w:vAlign w:val="center"/>
          </w:tcPr>
          <w:p>
            <w:pPr>
              <w:spacing w:after="40" w:before="0"/>
              <w:jc w:val="center"/>
            </w:pPr>
            <w:r>
              <w:rPr>
                <w:b/>
                <w:sz w:val="19"/>
              </w:rPr>
              <w:t>Accès sécurisé, rôles et cloisonnement des données par banque.</w:t>
            </w:r>
          </w:p>
        </w:tc>
      </w:tr>
      <w:tr>
        <w:tc>
          <w:tcPr>
            <w:tcW w:type="dxa" w:w="3024"/>
            <w:vAlign w:val="center"/>
          </w:tcPr>
          <w:p>
            <w:pPr>
              <w:spacing w:after="40" w:before="0"/>
              <w:jc w:val="center"/>
            </w:pPr>
            <w:r>
              <w:rPr>
                <w:b/>
                <w:sz w:val="19"/>
              </w:rPr>
              <w:t>Chapitre 4 — Demande de création de marketplace bancaire</w:t>
            </w:r>
          </w:p>
        </w:tc>
        <w:tc>
          <w:tcPr>
            <w:tcW w:type="dxa" w:w="3024"/>
            <w:vAlign w:val="center"/>
          </w:tcPr>
          <w:p>
            <w:pPr>
              <w:spacing w:after="40" w:before="0"/>
              <w:jc w:val="center"/>
            </w:pPr>
            <w:r>
              <w:rPr>
                <w:b/>
                <w:sz w:val="19"/>
              </w:rPr>
              <w:t>S2</w:t>
            </w:r>
          </w:p>
        </w:tc>
        <w:tc>
          <w:tcPr>
            <w:tcW w:type="dxa" w:w="3024"/>
            <w:vAlign w:val="center"/>
          </w:tcPr>
          <w:p>
            <w:pPr>
              <w:spacing w:after="40" w:before="0"/>
              <w:jc w:val="center"/>
            </w:pPr>
            <w:r>
              <w:rPr>
                <w:b/>
                <w:sz w:val="19"/>
              </w:rPr>
              <w:t>Saisie, vérification e-mail, configuration, stores, modules et soumission.</w:t>
            </w:r>
          </w:p>
        </w:tc>
      </w:tr>
      <w:tr>
        <w:tc>
          <w:tcPr>
            <w:tcW w:type="dxa" w:w="3024"/>
            <w:vAlign w:val="center"/>
          </w:tcPr>
          <w:p>
            <w:pPr>
              <w:spacing w:after="40" w:before="0"/>
              <w:jc w:val="center"/>
            </w:pPr>
            <w:r>
              <w:rPr>
                <w:b/>
                <w:sz w:val="19"/>
              </w:rPr>
              <w:t>Chapitre 4 — Back-office SaaS : administration et supervision</w:t>
            </w:r>
          </w:p>
        </w:tc>
        <w:tc>
          <w:tcPr>
            <w:tcW w:type="dxa" w:w="3024"/>
            <w:vAlign w:val="center"/>
          </w:tcPr>
          <w:p>
            <w:pPr>
              <w:spacing w:after="40" w:before="0"/>
              <w:jc w:val="center"/>
            </w:pPr>
            <w:r>
              <w:rPr>
                <w:b/>
                <w:sz w:val="19"/>
              </w:rPr>
              <w:t>S3</w:t>
            </w:r>
          </w:p>
        </w:tc>
        <w:tc>
          <w:tcPr>
            <w:tcW w:type="dxa" w:w="3024"/>
            <w:vAlign w:val="center"/>
          </w:tcPr>
          <w:p>
            <w:pPr>
              <w:spacing w:after="40" w:before="0"/>
              <w:jc w:val="center"/>
            </w:pPr>
            <w:r>
              <w:rPr>
                <w:b/>
                <w:sz w:val="19"/>
              </w:rPr>
              <w:t>Tableau de bord et gestion des acteurs, catalogues, contenus, abonnements, audit et paramètres.</w:t>
            </w:r>
          </w:p>
        </w:tc>
      </w:tr>
      <w:tr>
        <w:tc>
          <w:tcPr>
            <w:tcW w:type="dxa" w:w="3024"/>
            <w:vAlign w:val="center"/>
          </w:tcPr>
          <w:p>
            <w:pPr>
              <w:spacing w:after="40" w:before="0"/>
              <w:jc w:val="center"/>
            </w:pPr>
            <w:r>
              <w:rPr>
                <w:b/>
                <w:sz w:val="19"/>
              </w:rPr>
              <w:t>Chapitre 4 — Traitement, approbation et paiement</w:t>
            </w:r>
          </w:p>
        </w:tc>
        <w:tc>
          <w:tcPr>
            <w:tcW w:type="dxa" w:w="3024"/>
            <w:vAlign w:val="center"/>
          </w:tcPr>
          <w:p>
            <w:pPr>
              <w:spacing w:after="40" w:before="0"/>
              <w:jc w:val="center"/>
            </w:pPr>
            <w:r>
              <w:rPr>
                <w:b/>
                <w:sz w:val="19"/>
              </w:rPr>
              <w:t>S4</w:t>
            </w:r>
          </w:p>
        </w:tc>
        <w:tc>
          <w:tcPr>
            <w:tcW w:type="dxa" w:w="3024"/>
            <w:vAlign w:val="center"/>
          </w:tcPr>
          <w:p>
            <w:pPr>
              <w:spacing w:after="40" w:before="0"/>
              <w:jc w:val="center"/>
            </w:pPr>
            <w:r>
              <w:rPr>
                <w:b/>
                <w:sz w:val="19"/>
              </w:rPr>
              <w:t>Décision, e-mails, paiement Stripe et activation conditionnelle des services.</w:t>
            </w:r>
          </w:p>
        </w:tc>
      </w:tr>
      <w:tr>
        <w:tc>
          <w:tcPr>
            <w:tcW w:type="dxa" w:w="3024"/>
            <w:vAlign w:val="center"/>
          </w:tcPr>
          <w:p>
            <w:pPr>
              <w:spacing w:after="40" w:before="0"/>
              <w:jc w:val="center"/>
            </w:pPr>
            <w:r>
              <w:rPr>
                <w:b/>
                <w:sz w:val="19"/>
              </w:rPr>
              <w:t>Chapitre 4 — Back-office Banque et marketplace publique</w:t>
            </w:r>
          </w:p>
        </w:tc>
        <w:tc>
          <w:tcPr>
            <w:tcW w:type="dxa" w:w="3024"/>
            <w:vAlign w:val="center"/>
          </w:tcPr>
          <w:p>
            <w:pPr>
              <w:spacing w:after="40" w:before="0"/>
              <w:jc w:val="center"/>
            </w:pPr>
            <w:r>
              <w:rPr>
                <w:b/>
                <w:sz w:val="19"/>
              </w:rPr>
              <w:t>S5</w:t>
            </w:r>
          </w:p>
        </w:tc>
        <w:tc>
          <w:tcPr>
            <w:tcW w:type="dxa" w:w="3024"/>
            <w:vAlign w:val="center"/>
          </w:tcPr>
          <w:p>
            <w:pPr>
              <w:spacing w:after="40" w:before="0"/>
              <w:jc w:val="center"/>
            </w:pPr>
            <w:r>
              <w:rPr>
                <w:b/>
                <w:sz w:val="19"/>
              </w:rPr>
              <w:t>Configuration bancaire, services souscrits et parcours public jusqu’à la demande de financement.</w:t>
            </w:r>
          </w:p>
        </w:tc>
      </w:tr>
      <w:tr>
        <w:tc>
          <w:tcPr>
            <w:tcW w:type="dxa" w:w="3024"/>
            <w:vAlign w:val="center"/>
          </w:tcPr>
          <w:p>
            <w:pPr>
              <w:spacing w:after="40" w:before="0"/>
              <w:jc w:val="left"/>
            </w:pPr>
            <w:r>
              <w:rPr>
                <w:b/>
                <w:sz w:val="19"/>
              </w:rPr>
              <w:t>Chapitre 5 — Inscription et validation du concessionnaire</w:t>
            </w:r>
          </w:p>
        </w:tc>
        <w:tc>
          <w:tcPr>
            <w:tcW w:type="dxa" w:w="3024"/>
            <w:vAlign w:val="center"/>
          </w:tcPr>
          <w:p>
            <w:pPr>
              <w:spacing w:after="40" w:before="0"/>
              <w:jc w:val="center"/>
            </w:pPr>
            <w:r>
              <w:rPr>
                <w:b/>
                <w:sz w:val="19"/>
              </w:rPr>
              <w:t>S6</w:t>
            </w:r>
          </w:p>
        </w:tc>
        <w:tc>
          <w:tcPr>
            <w:tcW w:type="dxa" w:w="3024"/>
            <w:vAlign w:val="center"/>
          </w:tcPr>
          <w:p>
            <w:pPr>
              <w:spacing w:after="40" w:before="0"/>
              <w:jc w:val="left"/>
            </w:pPr>
            <w:r>
              <w:rPr>
                <w:b/>
                <w:sz w:val="19"/>
              </w:rPr>
              <w:t>Onboarding contrôlé du concessionnaire.</w:t>
            </w:r>
          </w:p>
        </w:tc>
      </w:tr>
      <w:tr>
        <w:tc>
          <w:tcPr>
            <w:tcW w:type="dxa" w:w="3024"/>
            <w:vAlign w:val="center"/>
          </w:tcPr>
          <w:p>
            <w:pPr>
              <w:spacing w:after="40" w:before="0"/>
              <w:jc w:val="left"/>
            </w:pPr>
            <w:r>
              <w:rPr>
                <w:b/>
                <w:sz w:val="19"/>
              </w:rPr>
              <w:t>Chapitre 5 — Partenariats et contrats</w:t>
            </w:r>
          </w:p>
        </w:tc>
        <w:tc>
          <w:tcPr>
            <w:tcW w:type="dxa" w:w="3024"/>
            <w:vAlign w:val="center"/>
          </w:tcPr>
          <w:p>
            <w:pPr>
              <w:spacing w:after="40" w:before="0"/>
              <w:jc w:val="center"/>
            </w:pPr>
            <w:r>
              <w:rPr>
                <w:b/>
                <w:sz w:val="19"/>
              </w:rPr>
              <w:t>S7</w:t>
            </w:r>
          </w:p>
        </w:tc>
        <w:tc>
          <w:tcPr>
            <w:tcW w:type="dxa" w:w="3024"/>
            <w:vAlign w:val="center"/>
          </w:tcPr>
          <w:p>
            <w:pPr>
              <w:spacing w:after="40" w:before="0"/>
              <w:jc w:val="left"/>
            </w:pPr>
            <w:r>
              <w:rPr>
                <w:b/>
                <w:sz w:val="19"/>
              </w:rPr>
              <w:t>Collaboration banque-concessionnaire et contractualisation.</w:t>
            </w:r>
          </w:p>
        </w:tc>
      </w:tr>
      <w:tr>
        <w:tc>
          <w:tcPr>
            <w:tcW w:type="dxa" w:w="3024"/>
            <w:vAlign w:val="center"/>
          </w:tcPr>
          <w:p>
            <w:pPr>
              <w:spacing w:after="40" w:before="0"/>
              <w:jc w:val="left"/>
            </w:pPr>
            <w:r>
              <w:rPr>
                <w:b/>
                <w:sz w:val="19"/>
              </w:rPr>
              <w:t>Chapitre 5 — Produits, publications et suivi des demandes</w:t>
            </w:r>
          </w:p>
        </w:tc>
        <w:tc>
          <w:tcPr>
            <w:tcW w:type="dxa" w:w="3024"/>
            <w:vAlign w:val="center"/>
          </w:tcPr>
          <w:p>
            <w:pPr>
              <w:spacing w:after="40" w:before="0"/>
              <w:jc w:val="center"/>
            </w:pPr>
            <w:r>
              <w:rPr>
                <w:b/>
                <w:sz w:val="19"/>
              </w:rPr>
              <w:t>S8</w:t>
            </w:r>
          </w:p>
        </w:tc>
        <w:tc>
          <w:tcPr>
            <w:tcW w:type="dxa" w:w="3024"/>
            <w:vAlign w:val="center"/>
          </w:tcPr>
          <w:p>
            <w:pPr>
              <w:spacing w:after="40" w:before="0"/>
              <w:jc w:val="left"/>
            </w:pPr>
            <w:r>
              <w:rPr>
                <w:b/>
                <w:sz w:val="19"/>
              </w:rPr>
              <w:t>Gestion centralisée du catalogue et des dossiers liés aux produits.</w:t>
            </w:r>
          </w:p>
        </w:tc>
      </w:tr>
      <w:tr>
        <w:tc>
          <w:tcPr>
            <w:tcW w:type="dxa" w:w="3024"/>
            <w:vAlign w:val="center"/>
          </w:tcPr>
          <w:p>
            <w:pPr>
              <w:spacing w:after="40" w:before="0"/>
              <w:jc w:val="left"/>
            </w:pPr>
            <w:r>
              <w:rPr>
                <w:b/>
                <w:sz w:val="19"/>
              </w:rPr>
              <w:t>Chapitre 5 — Parcours client et demande de financement</w:t>
            </w:r>
          </w:p>
        </w:tc>
        <w:tc>
          <w:tcPr>
            <w:tcW w:type="dxa" w:w="3024"/>
            <w:vAlign w:val="center"/>
          </w:tcPr>
          <w:p>
            <w:pPr>
              <w:spacing w:after="40" w:before="0"/>
              <w:jc w:val="center"/>
            </w:pPr>
            <w:r>
              <w:rPr>
                <w:b/>
                <w:sz w:val="19"/>
              </w:rPr>
              <w:t>S9</w:t>
            </w:r>
          </w:p>
        </w:tc>
        <w:tc>
          <w:tcPr>
            <w:tcW w:type="dxa" w:w="3024"/>
            <w:vAlign w:val="center"/>
          </w:tcPr>
          <w:p>
            <w:pPr>
              <w:spacing w:after="40" w:before="0"/>
              <w:jc w:val="left"/>
            </w:pPr>
            <w:r>
              <w:rPr>
                <w:b/>
                <w:sz w:val="19"/>
              </w:rPr>
              <w:t>Du compte client jusqu’à la décision bancaire sur le dossier.</w:t>
            </w:r>
          </w:p>
        </w:tc>
      </w:tr>
      <w:tr>
        <w:tc>
          <w:tcPr>
            <w:tcW w:type="dxa" w:w="3024"/>
            <w:vAlign w:val="center"/>
          </w:tcPr>
          <w:p>
            <w:pPr>
              <w:spacing w:after="40" w:before="0"/>
              <w:jc w:val="left"/>
            </w:pPr>
            <w:r>
              <w:rPr>
                <w:b/>
                <w:sz w:val="19"/>
              </w:rPr>
              <w:t>Chapitre 5 — Assistants conversationnels</w:t>
            </w:r>
          </w:p>
        </w:tc>
        <w:tc>
          <w:tcPr>
            <w:tcW w:type="dxa" w:w="3024"/>
            <w:vAlign w:val="center"/>
          </w:tcPr>
          <w:p>
            <w:pPr>
              <w:spacing w:after="40" w:before="0"/>
              <w:jc w:val="center"/>
            </w:pPr>
            <w:r>
              <w:rPr>
                <w:b/>
                <w:sz w:val="19"/>
              </w:rPr>
              <w:t>S10</w:t>
            </w:r>
          </w:p>
        </w:tc>
        <w:tc>
          <w:tcPr>
            <w:tcW w:type="dxa" w:w="3024"/>
            <w:vAlign w:val="center"/>
          </w:tcPr>
          <w:p>
            <w:pPr>
              <w:spacing w:after="40" w:before="0"/>
              <w:jc w:val="left"/>
            </w:pPr>
            <w:r>
              <w:rPr>
                <w:b/>
                <w:sz w:val="19"/>
              </w:rPr>
              <w:t>Assistant IA du SaaS, chatbot public et validation finale.</w:t>
            </w:r>
          </w:p>
        </w:tc>
      </w:tr>
    </w:tbl>
    <w:p>
      <w:pPr>
        <w:pStyle w:val="gjcqjg1a"/>
        <w:spacing w:line="360" w:lineRule="auto"/>
        <w:jc w:val="both"/>
      </w:pPr>
      <w:r>
        <w:t>À l’issue de chaque sprint, les fonctionnalités réalisées font l’objet de tests techniques et fonctionnels avant leur présentation en Sprint Review. Les retours recueillis permettent d’ajuster les priorités du Product Backlog et de préparer le sprint suivant. Cette planification maintient ainsi une progression cohérente entre les titres du rapport, les besoins fonctionnels et les incréments effectivement livrés.</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287516"/>
      <w:r w:rsidRPr="001770A9">
        <w:rPr>
          <w:rFonts w:asciiTheme="majorBidi" w:hAnsiTheme="majorBidi"/>
          <w:b/>
          <w:bCs/>
          <w:color w:val="000000" w:themeColor="text1"/>
          <w:sz w:val="32"/>
          <w:szCs w:val="32"/>
        </w:rPr>
        <w:t>Conclusion</w:t>
      </w:r>
      <w:bookmarkEnd w:id="26"/>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1770A9">
        <w:rPr>
          <w:rStyle w:val="Strong"/>
          <w:rFonts w:asciiTheme="majorBidi" w:hAnsiTheme="majorBidi" w:cstheme="majorBidi"/>
        </w:rPr>
        <w:t>BRI-</w:t>
      </w:r>
      <w:proofErr w:type="spellStart"/>
      <w:r w:rsidRPr="001770A9">
        <w:rPr>
          <w:rStyle w:val="Strong"/>
          <w:rFonts w:asciiTheme="majorBidi" w:hAnsiTheme="majorBidi" w:cstheme="majorBidi"/>
        </w:rPr>
        <w:t>Technology</w:t>
      </w:r>
      <w:proofErr w:type="spellEnd"/>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27" w:name="_Toc23928751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27"/>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28" w:name="_Toc23928751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28"/>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 xml:space="preserve">Il présente les différents acteurs du système, leurs besoins fonctionnels et non fonctionnels, ainsi que les principaux choix liés à l’architecture </w:t>
      </w:r>
      <w:proofErr w:type="spellStart"/>
      <w:r w:rsidRPr="006A7367">
        <w:rPr>
          <w:rFonts w:asciiTheme="majorBidi" w:hAnsiTheme="majorBidi" w:cstheme="majorBidi"/>
          <w:sz w:val="24"/>
          <w:szCs w:val="24"/>
        </w:rPr>
        <w:t>SaaS</w:t>
      </w:r>
      <w:proofErr w:type="spellEnd"/>
      <w:r w:rsidRPr="006A7367">
        <w:rPr>
          <w:rFonts w:asciiTheme="majorBidi" w:hAnsiTheme="majorBidi" w:cstheme="majorBidi"/>
          <w:sz w:val="24"/>
          <w:szCs w:val="24"/>
        </w:rPr>
        <w:t xml:space="preserve">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29" w:name="_Toc23928751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29"/>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xml:space="preserve">: Acteurs de la plateforme </w:t>
      </w:r>
      <w:proofErr w:type="spellStart"/>
      <w:r w:rsidRPr="00DF61FA">
        <w:rPr>
          <w:sz w:val="22"/>
          <w:szCs w:val="22"/>
        </w:rPr>
        <w:t>Matchia</w:t>
      </w:r>
      <w:proofErr w:type="spellEnd"/>
    </w:p>
    <w:tbl>
      <w:tblPr>
        <w:tblStyle w:val="Heading2Cha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 xml:space="preserve">Administrateur </w:t>
            </w:r>
            <w:proofErr w:type="spellStart"/>
            <w:r w:rsidRPr="0071517E">
              <w:rPr>
                <w:rFonts w:asciiTheme="majorBidi" w:hAnsiTheme="majorBidi" w:cstheme="majorBidi"/>
                <w:sz w:val="26"/>
                <w:szCs w:val="26"/>
              </w:rPr>
              <w:t>SaaS</w:t>
            </w:r>
            <w:proofErr w:type="spellEnd"/>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w:t>
            </w:r>
            <w:proofErr w:type="spellStart"/>
            <w:r w:rsidR="0071517E">
              <w:rPr>
                <w:rFonts w:asciiTheme="majorBidi" w:hAnsiTheme="majorBidi" w:cstheme="majorBidi"/>
                <w:sz w:val="24"/>
                <w:szCs w:val="24"/>
              </w:rPr>
              <w:t>concessionaires</w:t>
            </w:r>
            <w:proofErr w:type="spellEnd"/>
            <w:r w:rsidR="0071517E">
              <w:rPr>
                <w:rFonts w:asciiTheme="majorBidi" w:hAnsiTheme="majorBidi" w:cstheme="majorBidi"/>
                <w:sz w:val="24"/>
                <w:szCs w:val="24"/>
              </w:rPr>
              <w:t>,</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Responsable de la gestion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w:t>
            </w:r>
            <w:proofErr w:type="spellStart"/>
            <w:r w:rsidRPr="0071517E">
              <w:rPr>
                <w:rFonts w:asciiTheme="majorBidi" w:hAnsiTheme="majorBidi" w:cstheme="majorBidi"/>
                <w:sz w:val="24"/>
                <w:szCs w:val="24"/>
              </w:rPr>
              <w:t>marketplace</w:t>
            </w:r>
            <w:proofErr w:type="spellEnd"/>
            <w:r w:rsidRPr="0071517E">
              <w:rPr>
                <w:rFonts w:asciiTheme="majorBidi" w:hAnsiTheme="majorBidi" w:cstheme="majorBidi"/>
                <w:sz w:val="24"/>
                <w:szCs w:val="24"/>
              </w:rPr>
              <w:t xml:space="preserv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non authentifié pouvant consulter les </w:t>
            </w:r>
            <w:proofErr w:type="spellStart"/>
            <w:r w:rsidRPr="0071517E">
              <w:rPr>
                <w:rFonts w:asciiTheme="majorBidi" w:hAnsiTheme="majorBidi" w:cstheme="majorBidi"/>
                <w:sz w:val="24"/>
                <w:szCs w:val="24"/>
              </w:rPr>
              <w:t>marketplaces</w:t>
            </w:r>
            <w:proofErr w:type="spellEnd"/>
            <w:r w:rsidRPr="0071517E">
              <w:rPr>
                <w:rFonts w:asciiTheme="majorBidi" w:hAnsiTheme="majorBidi" w:cstheme="majorBidi"/>
                <w:sz w:val="24"/>
                <w:szCs w:val="24"/>
              </w:rPr>
              <w:t>,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0" w:name="_Toc239287520"/>
      <w:r w:rsidRPr="00DC65E4">
        <w:rPr>
          <w:rFonts w:asciiTheme="majorBidi" w:hAnsiTheme="majorBidi"/>
          <w:b/>
          <w:bCs/>
          <w:color w:val="auto"/>
          <w:sz w:val="32"/>
          <w:szCs w:val="32"/>
        </w:rPr>
        <w:t xml:space="preserve">3. Concepts du </w:t>
      </w:r>
      <w:proofErr w:type="spellStart"/>
      <w:r w:rsidRPr="00DC65E4">
        <w:rPr>
          <w:rFonts w:asciiTheme="majorBidi" w:hAnsiTheme="majorBidi"/>
          <w:b/>
          <w:bCs/>
          <w:color w:val="auto"/>
          <w:sz w:val="32"/>
          <w:szCs w:val="32"/>
        </w:rPr>
        <w:t>SaaS</w:t>
      </w:r>
      <w:proofErr w:type="spellEnd"/>
      <w:r w:rsidRPr="00DC65E4">
        <w:rPr>
          <w:rFonts w:asciiTheme="majorBidi" w:hAnsiTheme="majorBidi"/>
          <w:b/>
          <w:bCs/>
          <w:color w:val="auto"/>
          <w:sz w:val="32"/>
          <w:szCs w:val="32"/>
        </w:rPr>
        <w:t xml:space="preserve"> et de la multi-tenan</w:t>
      </w:r>
      <w:bookmarkEnd w:id="30"/>
      <w:r w:rsidR="00F013B6">
        <w:rPr>
          <w:rFonts w:asciiTheme="majorBidi" w:hAnsiTheme="majorBidi"/>
          <w:b/>
          <w:bCs/>
          <w:color w:val="auto"/>
          <w:sz w:val="32"/>
          <w:szCs w:val="32"/>
        </w:rPr>
        <w:t>t</w:t>
      </w:r>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1" w:name="_Toc23928752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w:t>
      </w:r>
      <w:proofErr w:type="spellStart"/>
      <w:r w:rsidR="00DC65E4" w:rsidRPr="00B6200F">
        <w:rPr>
          <w:rFonts w:asciiTheme="majorBidi" w:hAnsiTheme="majorBidi"/>
          <w:b/>
          <w:bCs/>
          <w:color w:val="000000" w:themeColor="text1"/>
          <w:sz w:val="28"/>
          <w:szCs w:val="28"/>
        </w:rPr>
        <w:t>SaaS</w:t>
      </w:r>
      <w:bookmarkEnd w:id="31"/>
      <w:proofErr w:type="spellEnd"/>
    </w:p>
    <w:p w:rsidR="00DC65E4" w:rsidRDefault="00183C04" w:rsidP="00B8561E">
      <w:pPr>
        <w:pStyle w:val="isselectedend"/>
        <w:spacing w:line="360" w:lineRule="auto"/>
        <w:jc w:val="both"/>
      </w:pPr>
      <w:r>
        <w:t xml:space="preserve">Le </w:t>
      </w:r>
      <w:r>
        <w:rPr>
          <w:rStyle w:val="Strong"/>
        </w:rPr>
        <w:t>Software as a Service (</w:t>
      </w:r>
      <w:proofErr w:type="spellStart"/>
      <w:r>
        <w:rPr>
          <w:rStyle w:val="Strong"/>
        </w:rPr>
        <w:t>SaaS</w:t>
      </w:r>
      <w:proofErr w:type="spellEnd"/>
      <w:r>
        <w:rPr>
          <w:rStyle w:val="Strong"/>
        </w:rPr>
        <w:t>)</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2" w:name="_Toc23928752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2"/>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w:t>
      </w:r>
      <w:proofErr w:type="spellStart"/>
      <w:r w:rsidRPr="00B8561E">
        <w:rPr>
          <w:rFonts w:ascii="Times New Roman" w:eastAsia="Times New Roman" w:hAnsi="Times New Roman" w:cs="Times New Roman"/>
          <w:sz w:val="24"/>
          <w:szCs w:val="24"/>
          <w:lang w:eastAsia="fr-FR"/>
        </w:rPr>
        <w:t>SaaS</w:t>
      </w:r>
      <w:proofErr w:type="spellEnd"/>
      <w:r w:rsidRPr="00B8561E">
        <w:rPr>
          <w:rFonts w:ascii="Times New Roman" w:eastAsia="Times New Roman" w:hAnsi="Times New Roman" w:cs="Times New Roman"/>
          <w:sz w:val="24"/>
          <w:szCs w:val="24"/>
          <w:lang w:eastAsia="fr-FR"/>
        </w:rPr>
        <w:t xml:space="preserve">.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3" w:name="_Toc23928752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3"/>
    </w:p>
    <w:p w:rsidR="00EA742A" w:rsidRDefault="00B8561E" w:rsidP="00BF387E">
      <w:pPr>
        <w:pStyle w:val="isselectedend"/>
        <w:spacing w:line="360" w:lineRule="auto"/>
      </w:pPr>
      <w:r>
        <w:t xml:space="preserve">Plusieurs stratégies peuvent être adoptées pour mettre en œuvre une architecture </w:t>
      </w:r>
      <w:proofErr w:type="gramStart"/>
      <w:r w:rsidRPr="00B8561E">
        <w:rPr>
          <w:rStyle w:val="Strong"/>
          <w:b w:val="0"/>
          <w:bCs w:val="0"/>
        </w:rPr>
        <w:t>multi-tenant</w:t>
      </w:r>
      <w:proofErr w:type="gramEnd"/>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t xml:space="preserve">données d’un </w:t>
      </w:r>
      <w:proofErr w:type="spellStart"/>
      <w:r w:rsidR="00BF387E">
        <w:t>aut</w:t>
      </w:r>
      <w:proofErr w:type="spellEnd"/>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4"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xml:space="preserve">: Principales stratégies d’architecture </w:t>
      </w:r>
      <w:proofErr w:type="gramStart"/>
      <w:r w:rsidRPr="00510525">
        <w:rPr>
          <w:sz w:val="22"/>
          <w:szCs w:val="22"/>
        </w:rPr>
        <w:t>multi-tenant</w:t>
      </w:r>
      <w:bookmarkEnd w:id="34"/>
      <w:proofErr w:type="gramEnd"/>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5" w:name="_Toc23928752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35"/>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36" w:name="_Toc23928752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6"/>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37" w:name="_Toc23928752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 xml:space="preserve">Administrateur </w:t>
      </w:r>
      <w:proofErr w:type="spellStart"/>
      <w:r w:rsidR="00B139C1">
        <w:rPr>
          <w:rFonts w:asciiTheme="majorBidi" w:hAnsiTheme="majorBidi"/>
          <w:b/>
          <w:bCs/>
          <w:color w:val="000000" w:themeColor="text1"/>
          <w:sz w:val="28"/>
          <w:szCs w:val="28"/>
        </w:rPr>
        <w:t>SaaS</w:t>
      </w:r>
      <w:bookmarkEnd w:id="37"/>
      <w:proofErr w:type="spellEnd"/>
    </w:p>
    <w:p w:rsidR="000F0575" w:rsidRDefault="000F0575" w:rsidP="004A4192">
      <w:pPr>
        <w:pStyle w:val="isselectedend"/>
        <w:spacing w:line="360" w:lineRule="auto"/>
      </w:pPr>
      <w:r>
        <w:t xml:space="preserve">L’Administrateur </w:t>
      </w:r>
      <w:proofErr w:type="spellStart"/>
      <w:r>
        <w:t>SaaS</w:t>
      </w:r>
      <w:proofErr w:type="spellEnd"/>
      <w:r>
        <w:t xml:space="preserve">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w:t>
      </w:r>
      <w:proofErr w:type="spellStart"/>
      <w:r w:rsidRPr="000F0575">
        <w:rPr>
          <w:rFonts w:asciiTheme="majorBidi" w:eastAsia="Times New Roman" w:hAnsiTheme="majorBidi" w:cstheme="majorBidi"/>
          <w:sz w:val="24"/>
          <w:szCs w:val="24"/>
          <w:lang w:eastAsia="fr-FR"/>
        </w:rPr>
        <w:t>marketplaces</w:t>
      </w:r>
      <w:proofErr w:type="spellEnd"/>
      <w:r w:rsidRPr="000F0575">
        <w:rPr>
          <w:rFonts w:asciiTheme="majorBidi" w:eastAsia="Times New Roman" w:hAnsiTheme="majorBidi" w:cstheme="majorBidi"/>
          <w:sz w:val="24"/>
          <w:szCs w:val="24"/>
          <w:lang w:eastAsia="fr-FR"/>
        </w:rPr>
        <w:t xml:space="preserve">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lastRenderedPageBreak/>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 xml:space="preserve">L’espace </w:t>
      </w:r>
      <w:proofErr w:type="spellStart"/>
      <w:r w:rsidRPr="004A4192">
        <w:rPr>
          <w:rFonts w:asciiTheme="majorBidi" w:hAnsiTheme="majorBidi" w:cstheme="majorBidi"/>
          <w:sz w:val="24"/>
          <w:szCs w:val="24"/>
        </w:rPr>
        <w:t>SaaS</w:t>
      </w:r>
      <w:proofErr w:type="spellEnd"/>
      <w:r w:rsidRPr="004A4192">
        <w:rPr>
          <w:rFonts w:asciiTheme="majorBidi" w:hAnsiTheme="majorBidi" w:cstheme="majorBidi"/>
          <w:sz w:val="24"/>
          <w:szCs w:val="24"/>
        </w:rPr>
        <w:t xml:space="preserve"> constitue ainsi le point central d’administration permettant de superviser l’ensemble de l’écosystème </w:t>
      </w:r>
      <w:proofErr w:type="spellStart"/>
      <w:r w:rsidRPr="004A4192">
        <w:rPr>
          <w:rFonts w:asciiTheme="majorBidi" w:hAnsiTheme="majorBidi" w:cstheme="majorBidi"/>
          <w:sz w:val="24"/>
          <w:szCs w:val="24"/>
        </w:rPr>
        <w:t>Matchia</w:t>
      </w:r>
      <w:proofErr w:type="spellEnd"/>
      <w:r w:rsidRPr="004A4192">
        <w:rPr>
          <w:rFonts w:asciiTheme="majorBidi" w:hAnsiTheme="majorBidi" w:cstheme="majorBidi"/>
          <w:sz w:val="24"/>
          <w:szCs w:val="24"/>
        </w:rPr>
        <w:t>.</w:t>
      </w:r>
    </w:p>
    <w:p w:rsidR="004A4192" w:rsidRDefault="00DC65E4" w:rsidP="004A4192">
      <w:pPr>
        <w:pStyle w:val="isselectedend"/>
        <w:outlineLvl w:val="2"/>
        <w:rPr>
          <w:rFonts w:asciiTheme="majorBidi" w:hAnsiTheme="majorBidi"/>
          <w:b/>
          <w:bCs/>
          <w:color w:val="000000" w:themeColor="text1"/>
          <w:sz w:val="28"/>
          <w:szCs w:val="28"/>
        </w:rPr>
      </w:pPr>
      <w:bookmarkStart w:id="38" w:name="_Toc23928752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38"/>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 xml:space="preserve">L’Administrateur Banque assure la gestion de la </w:t>
      </w:r>
      <w:proofErr w:type="spellStart"/>
      <w:r>
        <w:t>marketplace</w:t>
      </w:r>
      <w:proofErr w:type="spellEnd"/>
      <w:r>
        <w:t xml:space="preserv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 xml:space="preserve">érer les clients et les utilisateurs de la </w:t>
      </w:r>
      <w:proofErr w:type="spellStart"/>
      <w:r w:rsidR="007A1ACF"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w:t>
      </w:r>
      <w:proofErr w:type="spellStart"/>
      <w:r w:rsidR="00303DE7">
        <w:rPr>
          <w:rFonts w:asciiTheme="majorBidi" w:eastAsia="Times New Roman" w:hAnsiTheme="majorBidi" w:cstheme="majorBidi"/>
          <w:sz w:val="24"/>
          <w:szCs w:val="24"/>
          <w:lang w:eastAsia="fr-FR"/>
        </w:rPr>
        <w:t>marketplace</w:t>
      </w:r>
      <w:proofErr w:type="spellEnd"/>
      <w:r w:rsidR="00303DE7">
        <w:rPr>
          <w:rFonts w:asciiTheme="majorBidi" w:eastAsia="Times New Roman" w:hAnsiTheme="majorBidi" w:cstheme="majorBidi"/>
          <w:sz w:val="24"/>
          <w:szCs w:val="24"/>
          <w:lang w:eastAsia="fr-FR"/>
        </w:rPr>
        <w:t xml:space="preserv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gérer la personnalisation de la </w:t>
      </w:r>
      <w:proofErr w:type="spellStart"/>
      <w:r w:rsidRPr="007A1ACF">
        <w:rPr>
          <w:rFonts w:asciiTheme="majorBidi" w:hAnsiTheme="majorBidi" w:cstheme="majorBidi"/>
        </w:rPr>
        <w:t>marketplace</w:t>
      </w:r>
      <w:proofErr w:type="spellEnd"/>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w:t>
      </w:r>
      <w:proofErr w:type="spellStart"/>
      <w:r w:rsidR="00303DE7">
        <w:rPr>
          <w:rFonts w:asciiTheme="majorBidi" w:hAnsiTheme="majorBidi" w:cstheme="majorBidi"/>
          <w:sz w:val="24"/>
          <w:szCs w:val="24"/>
        </w:rPr>
        <w:t>marketplace</w:t>
      </w:r>
      <w:proofErr w:type="spellEnd"/>
      <w:r w:rsidR="00303DE7">
        <w:rPr>
          <w:rFonts w:asciiTheme="majorBidi" w:hAnsiTheme="majorBidi" w:cstheme="majorBidi"/>
          <w:sz w:val="24"/>
          <w:szCs w:val="24"/>
        </w:rPr>
        <w:t xml:space="preserv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39" w:name="_Toc23928752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39"/>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0" w:name="_Toc23928752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0"/>
    </w:p>
    <w:p w:rsidR="00E749D5" w:rsidRDefault="00E749D5" w:rsidP="00E749D5">
      <w:pPr>
        <w:pStyle w:val="isselectedend"/>
        <w:jc w:val="both"/>
      </w:pPr>
      <w:r>
        <w:t xml:space="preserve">Le Client est un utilisateur authentifié d’une </w:t>
      </w:r>
      <w:proofErr w:type="spellStart"/>
      <w:r>
        <w:t>marketplace</w:t>
      </w:r>
      <w:proofErr w:type="spellEnd"/>
      <w:r>
        <w:t xml:space="preserv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1" w:name="_Toc23928753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1"/>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w:t>
      </w:r>
      <w:proofErr w:type="spellStart"/>
      <w:r w:rsidRPr="002F415C">
        <w:rPr>
          <w:rFonts w:asciiTheme="majorBidi" w:hAnsiTheme="majorBidi" w:cstheme="majorBidi"/>
        </w:rPr>
        <w:t>marketplaces</w:t>
      </w:r>
      <w:proofErr w:type="spellEnd"/>
      <w:r w:rsidRPr="002F415C">
        <w:rPr>
          <w:rFonts w:asciiTheme="majorBidi" w:hAnsiTheme="majorBidi" w:cstheme="majorBidi"/>
        </w:rPr>
        <w:t xml:space="preserve">.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 xml:space="preserve">aux </w:t>
      </w:r>
      <w:proofErr w:type="spellStart"/>
      <w:r w:rsidRPr="002F415C">
        <w:rPr>
          <w:rFonts w:asciiTheme="majorBidi" w:hAnsiTheme="majorBidi" w:cstheme="majorBidi"/>
          <w:sz w:val="24"/>
          <w:szCs w:val="24"/>
        </w:rPr>
        <w:t>marketplaces</w:t>
      </w:r>
      <w:proofErr w:type="spellEnd"/>
      <w:r w:rsidRPr="002F415C">
        <w:rPr>
          <w:rFonts w:asciiTheme="majorBidi" w:hAnsiTheme="majorBidi" w:cstheme="majorBidi"/>
          <w:sz w:val="24"/>
          <w:szCs w:val="24"/>
        </w:rPr>
        <w:t xml:space="preserve">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2" w:name="_Toc23928753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2"/>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 xml:space="preserve">fiable, sécurisé, performant et adapté à une architecture </w:t>
      </w:r>
      <w:proofErr w:type="spellStart"/>
      <w:r w:rsidRPr="001775AF">
        <w:rPr>
          <w:rStyle w:val="Strong"/>
          <w:rFonts w:asciiTheme="majorBidi" w:hAnsiTheme="majorBidi" w:cstheme="majorBidi"/>
          <w:b w:val="0"/>
          <w:bCs w:val="0"/>
          <w:sz w:val="24"/>
          <w:szCs w:val="24"/>
        </w:rPr>
        <w:t>SaaS</w:t>
      </w:r>
      <w:proofErr w:type="spellEnd"/>
      <w:r w:rsidRPr="001775AF">
        <w:rPr>
          <w:rStyle w:val="Strong"/>
          <w:rFonts w:asciiTheme="majorBidi" w:hAnsiTheme="majorBidi" w:cstheme="majorBidi"/>
          <w:b w:val="0"/>
          <w:bCs w:val="0"/>
          <w:sz w:val="24"/>
          <w:szCs w:val="24"/>
        </w:rPr>
        <w:t xml:space="preserve">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 xml:space="preserve">La solution doit être capable d’intégrer progressivement de nouvelles banques, </w:t>
      </w:r>
      <w:proofErr w:type="spellStart"/>
      <w:r w:rsidRPr="00805AB7">
        <w:rPr>
          <w:rFonts w:asciiTheme="majorBidi" w:hAnsiTheme="majorBidi" w:cstheme="majorBidi"/>
          <w:sz w:val="24"/>
          <w:szCs w:val="24"/>
        </w:rPr>
        <w:t>marketplaces</w:t>
      </w:r>
      <w:proofErr w:type="spellEnd"/>
      <w:r w:rsidRPr="00805AB7">
        <w:rPr>
          <w:rFonts w:asciiTheme="majorBidi" w:hAnsiTheme="majorBidi" w:cstheme="majorBidi"/>
          <w:sz w:val="24"/>
          <w:szCs w:val="24"/>
        </w:rPr>
        <w:t>,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0"/>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3" w:name="_Toc239287532"/>
      <w:r w:rsidRPr="002C185C">
        <w:rPr>
          <w:rFonts w:asciiTheme="majorBidi" w:hAnsiTheme="majorBidi"/>
          <w:b/>
          <w:bCs/>
          <w:color w:val="auto"/>
          <w:sz w:val="36"/>
          <w:szCs w:val="36"/>
        </w:rPr>
        <w:lastRenderedPageBreak/>
        <w:t>Chapitre 3 : Architecture et Conception</w:t>
      </w:r>
      <w:bookmarkEnd w:id="43"/>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1. Introduction</w:t>
      </w:r>
    </w:p>
    <w:p w:rsidR="002A06D9" w:rsidRPr="002A06D9" w:rsidRDefault="002A06D9" w:rsidP="002A06D9"/>
    <w:p w:rsidR="002A06D9" w:rsidRDefault="002A06D9" w:rsidP="002A06D9">
      <w:pPr>
        <w:pStyle w:val="Heading2"/>
        <w:rPr>
          <w:rFonts w:asciiTheme="majorBidi" w:hAnsiTheme="majorBidi"/>
          <w:b/>
          <w:bCs/>
          <w:color w:val="auto"/>
          <w:sz w:val="32"/>
          <w:szCs w:val="32"/>
        </w:rPr>
      </w:pPr>
      <w:r w:rsidRPr="002A06D9">
        <w:rPr>
          <w:rFonts w:asciiTheme="majorBidi" w:hAnsiTheme="majorBidi"/>
          <w:b/>
          <w:bCs/>
          <w:color w:val="auto"/>
          <w:sz w:val="32"/>
          <w:szCs w:val="32"/>
        </w:rPr>
        <w:t xml:space="preserve">2. </w:t>
      </w:r>
      <w:r w:rsidRPr="002A06D9">
        <w:rPr>
          <w:rFonts w:asciiTheme="majorBidi" w:hAnsiTheme="majorBidi"/>
          <w:b/>
          <w:bCs/>
          <w:color w:val="auto"/>
          <w:sz w:val="32"/>
          <w:szCs w:val="32"/>
        </w:rPr>
        <w:t>Environnement de développement et technologies utilisées</w:t>
      </w:r>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 xml:space="preserve">Environnement matériel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w:t>
      </w:r>
      <w:r>
        <w:t>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C940BB" w:rsidRPr="00C940BB">
        <w:rPr>
          <w:rFonts w:asciiTheme="majorBidi" w:hAnsiTheme="majorBidi"/>
          <w:b/>
          <w:bCs/>
          <w:color w:val="000000" w:themeColor="text1"/>
          <w:sz w:val="28"/>
          <w:szCs w:val="28"/>
        </w:rPr>
        <w:t xml:space="preserve">2.2.  </w:t>
      </w:r>
      <w:r w:rsidR="00C940BB" w:rsidRPr="00C940BB">
        <w:rPr>
          <w:rFonts w:asciiTheme="majorBidi" w:hAnsiTheme="majorBidi"/>
          <w:b/>
          <w:bCs/>
          <w:color w:val="000000" w:themeColor="text1"/>
          <w:sz w:val="28"/>
          <w:szCs w:val="28"/>
        </w:rPr>
        <w:t>Environnement logiciel</w:t>
      </w:r>
    </w:p>
    <w:p w:rsidR="00211661" w:rsidRDefault="00C940BB" w:rsidP="00E23A39">
      <w:pPr>
        <w:pStyle w:val="isselectedend"/>
        <w:spacing w:line="360" w:lineRule="auto"/>
      </w:pPr>
      <w:r>
        <w:t xml:space="preserve">Pour assurer le développement et les tests de notre </w:t>
      </w:r>
      <w:r>
        <w:t>solution</w:t>
      </w:r>
      <w:r>
        <w:t>,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r w:rsidRPr="00211661">
              <w:rPr>
                <w:rFonts w:asciiTheme="majorBidi" w:hAnsiTheme="majorBidi"/>
                <w:b/>
                <w:bCs/>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 </w:t>
            </w:r>
            <w:r w:rsidRPr="0023690C">
              <w:rPr>
                <w:rFonts w:asciiTheme="majorBidi" w:hAnsiTheme="majorBidi"/>
                <w:b/>
                <w:bCs/>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proofErr w:type="spellStart"/>
            <w:r w:rsidRPr="0023690C">
              <w:rPr>
                <w:b/>
                <w:bCs/>
              </w:rPr>
              <w:t>IntelliJ</w:t>
            </w:r>
            <w:proofErr w:type="spellEnd"/>
            <w:r w:rsidRPr="0023690C">
              <w:rPr>
                <w:b/>
                <w:bCs/>
              </w:rPr>
              <w:t xml:space="preserve"> IDEA</w:t>
            </w:r>
            <w:r>
              <w:t xml:space="preserve"> est un environnement de développement intégré développé par </w:t>
            </w:r>
            <w:proofErr w:type="spellStart"/>
            <w:r>
              <w:t>JetBrains</w:t>
            </w:r>
            <w:proofErr w:type="spellEnd"/>
            <w:r>
              <w:t>.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r w:rsidRPr="007A151E">
              <w:rPr>
                <w:b/>
                <w:bCs/>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rPr>
              <w:t>Postman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Postman</w:t>
            </w:r>
            <w:proofErr w:type="spellEnd"/>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r w:rsidRPr="007A151E">
              <w:rPr>
                <w:b/>
                <w:bCs/>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151E">
              <w:rPr>
                <w:rFonts w:asciiTheme="majorBidi" w:hAnsiTheme="majorBidi" w:cstheme="majorBidi"/>
                <w:b/>
                <w:bCs/>
              </w:rPr>
              <w:t>pgAdmin</w:t>
            </w:r>
            <w:proofErr w:type="spellEnd"/>
          </w:p>
        </w:tc>
        <w:tc>
          <w:tcPr>
            <w:tcW w:w="5239" w:type="dxa"/>
            <w:vAlign w:val="center"/>
          </w:tcPr>
          <w:p w:rsidR="007A151E" w:rsidRPr="0023690C" w:rsidRDefault="007A151E" w:rsidP="007A151E">
            <w:pPr>
              <w:pStyle w:val="isselectedend"/>
              <w:spacing w:line="360" w:lineRule="auto"/>
              <w:jc w:val="both"/>
              <w:outlineLvl w:val="2"/>
              <w:rPr>
                <w:b/>
                <w:bCs/>
              </w:rPr>
            </w:pPr>
            <w:proofErr w:type="spellStart"/>
            <w:r w:rsidRPr="007A151E">
              <w:rPr>
                <w:b/>
                <w:bCs/>
              </w:rPr>
              <w:t>pgAdmin</w:t>
            </w:r>
            <w:proofErr w:type="spellEnd"/>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proofErr w:type="spellStart"/>
            <w:r w:rsidRPr="00C4769F">
              <w:rPr>
                <w:b/>
                <w:bCs/>
              </w:rPr>
              <w:t>DBeaver</w:t>
            </w:r>
            <w:proofErr w:type="spellEnd"/>
            <w:r w:rsidRPr="00C4769F">
              <w:rPr>
                <w:b/>
                <w:bCs/>
              </w:rPr>
              <w:t xml:space="preserve"> </w:t>
            </w:r>
            <w:r w:rsidRPr="00C4769F">
              <w:rPr>
                <w:b/>
                <w:bCs/>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C4769F">
            <w:pPr>
              <w:pStyle w:val="isselectedend"/>
              <w:spacing w:line="360" w:lineRule="auto"/>
              <w:jc w:val="both"/>
              <w:outlineLvl w:val="2"/>
              <w:rPr>
                <w:b/>
                <w:bCs/>
              </w:rPr>
            </w:pPr>
            <w:proofErr w:type="spellStart"/>
            <w:r w:rsidRPr="00C4769F">
              <w:rPr>
                <w:b/>
                <w:bCs/>
              </w:rPr>
              <w:t>DBeaver</w:t>
            </w:r>
            <w:proofErr w:type="spellEnd"/>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proofErr w:type="spellStart"/>
            <w:r w:rsidRPr="00E23A39">
              <w:rPr>
                <w:b/>
                <w:bCs/>
              </w:rPr>
              <w:t>GitHub</w:t>
            </w:r>
            <w:proofErr w:type="spellEnd"/>
            <w:r w:rsidRPr="00C4769F">
              <w:rPr>
                <w:b/>
                <w:bCs/>
              </w:rPr>
              <w:t xml:space="preserve"> </w:t>
            </w:r>
            <w:r w:rsidR="00C4769F" w:rsidRPr="00C4769F">
              <w:rPr>
                <w:b/>
                <w:bCs/>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E23A39">
            <w:pPr>
              <w:pStyle w:val="isselectedend"/>
              <w:spacing w:line="360" w:lineRule="auto"/>
              <w:jc w:val="both"/>
              <w:outlineLvl w:val="2"/>
              <w:rPr>
                <w:b/>
                <w:bCs/>
              </w:rPr>
            </w:pPr>
            <w:proofErr w:type="spellStart"/>
            <w:r w:rsidRPr="00E23A39">
              <w:rPr>
                <w:b/>
                <w:bCs/>
              </w:rPr>
              <w:t>GitHub</w:t>
            </w:r>
            <w:proofErr w:type="spellEnd"/>
            <w:r>
              <w:t xml:space="preserve"> est une plateforme d’hébergement et de gestion de code source basée sur Git. Elle facilite le suivi des versions et le travail collaboratif.</w:t>
            </w:r>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t xml:space="preserve">2.3. </w:t>
      </w:r>
      <w:r w:rsidRPr="00E23A39">
        <w:rPr>
          <w:rFonts w:asciiTheme="majorBidi" w:hAnsiTheme="majorBidi"/>
          <w:b/>
          <w:bCs/>
          <w:color w:val="000000" w:themeColor="text1"/>
          <w:sz w:val="28"/>
          <w:szCs w:val="28"/>
        </w:rPr>
        <w:t>Technologies utilisées</w:t>
      </w:r>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r w:rsidRPr="00E23A39">
              <w:rPr>
                <w:rFonts w:asciiTheme="majorBidi" w:hAnsiTheme="majorBidi"/>
                <w:b/>
                <w:bCs/>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proofErr w:type="spellStart"/>
            <w:r w:rsidR="00091197" w:rsidRPr="00091197">
              <w:rPr>
                <w:rFonts w:asciiTheme="majorBidi" w:hAnsiTheme="majorBidi" w:cstheme="majorBidi"/>
                <w:b/>
                <w:bCs/>
              </w:rPr>
              <w:t>React</w:t>
            </w:r>
            <w:proofErr w:type="spellEnd"/>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proofErr w:type="spellStart"/>
            <w:r w:rsidRPr="00091197">
              <w:rPr>
                <w:b/>
                <w:bCs/>
              </w:rPr>
              <w:t>React</w:t>
            </w:r>
            <w:proofErr w:type="spellEnd"/>
            <w:r w:rsidRPr="00091197">
              <w:rPr>
                <w:b/>
                <w:bCs/>
              </w:rPr>
              <w:t xml:space="preserve"> </w:t>
            </w:r>
            <w:r>
              <w:t>est une bibliothèque JavaScript permettant de construire des interfaces utilisateur à partir de composants réutilisables.</w:t>
            </w:r>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r w:rsidRPr="00091197">
              <w:rPr>
                <w:rFonts w:asciiTheme="majorBidi" w:hAnsiTheme="majorBidi"/>
                <w:b/>
                <w:bCs/>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91197">
              <w:rPr>
                <w:rFonts w:asciiTheme="majorBidi" w:hAnsiTheme="majorBidi"/>
                <w:b/>
                <w:bCs/>
                <w:color w:val="000000" w:themeColor="text1"/>
              </w:rPr>
              <w:t>Spring</w:t>
            </w:r>
            <w:proofErr w:type="spellEnd"/>
            <w:r w:rsidRPr="00091197">
              <w:rPr>
                <w:rFonts w:asciiTheme="majorBidi" w:hAnsiTheme="majorBidi"/>
                <w:b/>
                <w:bCs/>
                <w:color w:val="000000" w:themeColor="text1"/>
              </w:rPr>
              <w:t xml:space="preserve"> Boot </w:t>
            </w:r>
          </w:p>
        </w:tc>
        <w:tc>
          <w:tcPr>
            <w:tcW w:w="5239" w:type="dxa"/>
            <w:vAlign w:val="center"/>
          </w:tcPr>
          <w:p w:rsidR="00091197" w:rsidRPr="00091197" w:rsidRDefault="00091197" w:rsidP="00091197">
            <w:pPr>
              <w:pStyle w:val="isselectedend"/>
              <w:spacing w:line="360" w:lineRule="auto"/>
              <w:jc w:val="both"/>
              <w:outlineLvl w:val="2"/>
              <w:rPr>
                <w:b/>
                <w:bCs/>
              </w:rPr>
            </w:pPr>
            <w:proofErr w:type="spellStart"/>
            <w:r w:rsidRPr="00091197">
              <w:rPr>
                <w:b/>
                <w:bCs/>
              </w:rPr>
              <w:t>Spring</w:t>
            </w:r>
            <w:proofErr w:type="spellEnd"/>
            <w:r w:rsidRPr="00091197">
              <w:rPr>
                <w:b/>
                <w:bCs/>
              </w:rPr>
              <w:t xml:space="preserve"> Boo</w:t>
            </w:r>
            <w:r>
              <w:t xml:space="preserve">t est un </w:t>
            </w:r>
            <w:proofErr w:type="spellStart"/>
            <w:r>
              <w:t>framework</w:t>
            </w:r>
            <w:proofErr w:type="spellEnd"/>
            <w:r>
              <w:t xml:space="preserve"> Java basé sur l’écosystème </w:t>
            </w:r>
            <w:proofErr w:type="spellStart"/>
            <w:r>
              <w:t>Spring</w:t>
            </w:r>
            <w:proofErr w:type="spellEnd"/>
            <w:r>
              <w:t>.</w:t>
            </w:r>
            <w:r>
              <w:t xml:space="preserve"> </w:t>
            </w:r>
            <w:r>
              <w:t xml:space="preserve">Il fournit un ensemble de bibliothèques facilitant la création rapide et la </w:t>
            </w:r>
            <w:r>
              <w:t>gestion simplifiée des projets.</w:t>
            </w:r>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642DF">
            <w:pPr>
              <w:pStyle w:val="isselectedend"/>
              <w:spacing w:line="360" w:lineRule="auto"/>
              <w:jc w:val="both"/>
              <w:outlineLvl w:val="2"/>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r>
              <w:t>.</w:t>
            </w:r>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r w:rsidRPr="00360F01">
              <w:rPr>
                <w:rStyle w:val="Strong"/>
                <w:rFonts w:eastAsiaTheme="majorEastAsia"/>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8961" cy="652016"/>
                          </a:xfrm>
                          <a:prstGeom prst="rect">
                            <a:avLst/>
                          </a:prstGeom>
                        </pic:spPr>
                      </pic:pic>
                    </a:graphicData>
                  </a:graphic>
                </wp:inline>
              </w:drawing>
            </w:r>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r w:rsidRPr="00834E0C">
              <w:rPr>
                <w:b/>
                <w:bCs/>
              </w:rPr>
              <w:t>Docker Compose</w:t>
            </w:r>
            <w:r>
              <w:t xml:space="preserve"> </w:t>
            </w:r>
            <w:r w:rsidR="00360F01" w:rsidRPr="00360F01">
              <w:rPr>
                <w:rStyle w:val="Strong"/>
                <w:rFonts w:eastAsiaTheme="majorEastAsia"/>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642DF">
            <w:pPr>
              <w:pStyle w:val="isselectedend"/>
              <w:spacing w:line="360" w:lineRule="auto"/>
              <w:jc w:val="both"/>
              <w:outlineLvl w:val="2"/>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w:t>
            </w:r>
            <w:r>
              <w:t xml:space="preserve"> services </w:t>
            </w:r>
            <w:r>
              <w:t xml:space="preserve">nécessaires </w:t>
            </w:r>
            <w:r w:rsidR="00834E0C">
              <w:t>au fonctionnement d’une application</w:t>
            </w:r>
            <w:r w:rsidR="00834E0C">
              <w:t>.</w:t>
            </w:r>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2C185C" w:rsidRDefault="002C185C" w:rsidP="00DA2CB7">
      <w:pPr>
        <w:tabs>
          <w:tab w:val="left" w:pos="975"/>
        </w:tabs>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pPr>
        <w:pStyle w:val="Heading2"/>
        <w:rPr>
          <w:rFonts w:asciiTheme="majorBidi" w:hAnsiTheme="majorBidi"/>
          <w:b/>
          <w:bCs/>
          <w:color w:val="auto"/>
          <w:sz w:val="32"/>
          <w:szCs w:val="32"/>
        </w:rPr>
      </w:pPr>
      <w:r>
        <w:rPr>
          <w:rFonts w:asciiTheme="majorBidi" w:hAnsiTheme="majorBidi"/>
          <w:b/>
          <w:bCs/>
          <w:color w:val="auto"/>
          <w:sz w:val="32"/>
          <w:szCs w:val="32"/>
        </w:rPr>
        <w:t>3. Modélisation UML des besoins fonctionnels</w:t>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3.1. Cas d’utilisation détaillés alignés sur le Product Backlog</w:t>
      </w:r>
    </w:p>
    <w:p>
      <w:pPr>
        <w:spacing w:line="360" w:lineRule="auto"/>
        <w:jc w:val="both"/>
        <w:rPr>
          <w:rFonts w:asciiTheme="majorBidi" w:hAnsiTheme="majorBidi"/>
          <w:sz w:val="24"/>
          <w:szCs w:val="24"/>
        </w:rPr>
      </w:pPr>
      <w:r>
        <w:rPr>
          <w:rFonts w:asciiTheme="majorBidi" w:hAnsiTheme="majorBidi" w:cstheme="majorBidi"/>
          <w:sz w:val="24"/>
          <w:szCs w:val="24"/>
        </w:rPr>
        <w:t>Les cas d’utilisation détaillés ci-après sont structurés à partir des dix sprints du Product Backlog et des fonctionnalités réalisées dans les chapitres 4 et 5. Chaque diagramme représente un processus métier cohérent. Les acteurs sont positionnés à l’extérieur de la frontière du système Matchia, tandis que les objectifs sont représentés par des cas d’utilisation. Les relations &lt;&lt;include&gt;&gt; désignent des sous-fonctions obligatoires ; les relations &lt;&lt;extend&gt;&gt; représentent des traitements conditionnels, notamment les décisions de rejet ou les activations dépendantes d’un paiement confirmé.</w:t>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UC-01 — Accéder à un espace sécurisé</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S1.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1" name="Picture 51" descr="Figure 3.5 — Diagramme de cas d’utilisation détaillé de l’accès sécurisé multi-tenant" title="Figure 3.5 — Diagramme de cas d’utilisation détaillé de l’accès sécurisé multi-tenant"/>
            <wp:cNvGraphicFramePr>
              <a:graphicFrameLocks noChangeAspect="1"/>
            </wp:cNvGraphicFramePr>
            <a:graphic>
              <a:graphicData uri="http://schemas.openxmlformats.org/drawingml/2006/picture">
                <pic:pic>
                  <pic:nvPicPr>
                    <pic:cNvPr id="0" name="uc_sprint_01.png"/>
                    <pic:cNvPicPr/>
                  </pic:nvPicPr>
                  <pic:blipFill>
                    <a:blip r:embed="rId58"/>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3.5 — Diagramme de cas d’utilisation détaillé de l’accès sécurisé multi-tenant</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3.1 — Description du scénario UC-01</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UC-01 — Accéder à un espace sécurisé</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S1 — Socle SaaS multi-tenant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Utilisateur autorisé</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Accéder à l’espace correspondant à son rôle sans consulter les données d’un autre tenant.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Compte actif et identifiants valides.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L’utilisateur soumet le formulaire de connexion.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L’utilisateur saisit son e-mail et son mot de passe. 2. Le système vérifie les identifiants. 3. Il récupère le rôle associé. 4. Pour les espaces bancaires, il applique le contexte de la banque concernée. 5. Il ouvre l’espace autorisé.</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Identifiants erronés ou compte inactif : l’accès est refusé. Jeton expiré : l’utilisateur doit se reconnecter. Une ressource appartenant à un autre tenant est inaccessible.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Une session authentifiée est ouverte avec les droits et le périmètre de données appropriés.</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UC-02 — Déposer une demande de marketplace</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S2.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2" name="Picture 52" descr="Figure 3.6 — Diagramme de cas d’utilisation détaillé de la demande de création d’une marketplace" title="Figure 3.6 — Diagramme de cas d’utilisation détaillé de la demande de création d’une marketplace"/>
            <wp:cNvGraphicFramePr>
              <a:graphicFrameLocks noChangeAspect="1"/>
            </wp:cNvGraphicFramePr>
            <a:graphic>
              <a:graphicData uri="http://schemas.openxmlformats.org/drawingml/2006/picture">
                <pic:pic>
                  <pic:nvPicPr>
                    <pic:cNvPr id="0" name="uc_sprint_02.png"/>
                    <pic:cNvPicPr/>
                  </pic:nvPicPr>
                  <pic:blipFill>
                    <a:blip r:embed="rId59"/>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3.6 — Diagramme de cas d’utilisation détaillé de la demande de création d’une marketplace</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3.2 — Description du scénario UC-02</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UC-02 — Déposer une demande de marketplace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S2 — Demande de création de marketplace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Représentant de la banque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Service e-mail</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Transmettre une demande complète en vue de créer une marketplace bancaire.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formulaire d’adhésion est accessible et l’adresse e-mail du futur administrateur n’est pas déjà utilisée.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représentant accède au formulaire public de demande.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Le représentant renseigne les données de la banque. 2. Il saisit les informations du futur Administrateur Banque. 3. Il valide le code reçu par e-mail. 4. Il configure le slug et les éléments d’identité de la marketplace. 5. Il choisit les stores et modules. 6. Il vérifie le récapitulatif puis soumet.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Une donnée invalide impose une correction. Un code e-mail incorrect ou expiré peut être renvoyé. Le représentant peut revenir sur les choix de stores ou de modules avant la soumission.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demande est enregistrée à l’état en attente et une notification est créée pour l’Administrateur SaaS.</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UC-03 — Administrer la plateforme SaaS</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S3.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3" name="Picture 53" descr="Figure 3.7 — Diagramme de cas d’utilisation détaillé de l’administration SaaS" title="Figure 3.7 — Diagramme de cas d’utilisation détaillé de l’administration SaaS"/>
            <wp:cNvGraphicFramePr>
              <a:graphicFrameLocks noChangeAspect="1"/>
            </wp:cNvGraphicFramePr>
            <a:graphic>
              <a:graphicData uri="http://schemas.openxmlformats.org/drawingml/2006/picture">
                <pic:pic>
                  <pic:nvPicPr>
                    <pic:cNvPr id="0" name="uc_sprint_03.png"/>
                    <pic:cNvPicPr/>
                  </pic:nvPicPr>
                  <pic:blipFill>
                    <a:blip r:embed="rId60"/>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3.7 — Diagramme de cas d’utilisation détaillé de l’administration SaaS</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3.3 — Description du scénario UC-03</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UC-03 — Administrer la plateforme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S3 — Back-office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Gemini pour l’assistant analytique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Administrer les ressources globales et superviser les tenants de la plateforme.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Utilisateur authentifié avec le rôle Administrateur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L’administrateur accède au Back-office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L’administrateur consulte les indicateurs. 2. Il gère les banques, marketplaces, utilisateurs, stores et modules. 3. Il configure les offres et consulte les abonnements. 4. Il consulte les journaux d’audit et les paramètres autorisés.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Une ressource peut être filtrée, recherchée ou désactivée selon son statut. L’assistant IA peut être interrogé pour une consultation analytique.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Les modifications autorisées sont persistées et les actions sensibles sont traçables dans les journaux d’audit.</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UC-04 — Traiter une demande et activer les services</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S4.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4" name="Picture 54" descr="Figure 3.8 — Diagramme de cas d’utilisation détaillé du traitement, du paiement et de l’activation" title="Figure 3.8 — Diagramme de cas d’utilisation détaillé du traitement, du paiement et de l’activation"/>
            <wp:cNvGraphicFramePr>
              <a:graphicFrameLocks noChangeAspect="1"/>
            </wp:cNvGraphicFramePr>
            <a:graphic>
              <a:graphicData uri="http://schemas.openxmlformats.org/drawingml/2006/picture">
                <pic:pic>
                  <pic:nvPicPr>
                    <pic:cNvPr id="0" name="uc_sprint_04.png"/>
                    <pic:cNvPicPr/>
                  </pic:nvPicPr>
                  <pic:blipFill>
                    <a:blip r:embed="rId61"/>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3.8 — Diagramme de cas d’utilisation détaillé du traitement, du paiement et de l’activation</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3.4 — Description du scénario UC-04</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UC-04 — Traiter une demande et activer les services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S4 — Traitement, paiement et activation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Stripe et service e-mail</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Décider d’une demande puis activer les ressources uniquement après confirmation du paiement.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Demande complète au statut en attente.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L’Administrateur SaaS ouvre le détail d’une demande.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L’administrateur vérifie le dossier. 2. Il approuve la demande. 3. Le système crée l’opération Stripe et envoie le lien de paiement. 4. Le contact bancaire réalise le paiement. 5. Le backend vérifie le statut confirmé auprès de Stripe. 6. Il active la banque, la marketplace, l’abonnement et le compte Administrateur Banque. 7. Il envoie les identifiants de connexion.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L’administrateur rejette la demande avec un motif et un e-mail est envoyé. Si le paiement est annulé ou non confirmé, les ressources restent inactives.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demande est rejetée avec un motif, ou la banque et ses services sont activés après paiement confirmé.</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UC-05 — Configurer et utiliser une marketplace bancaire</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S5.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5" name="Picture 55" descr="Figure 3.9 — Diagramme de cas d’utilisation détaillé de la configuration et de la marketplace publique" title="Figure 3.9 — Diagramme de cas d’utilisation détaillé de la configuration et de la marketplace publique"/>
            <wp:cNvGraphicFramePr>
              <a:graphicFrameLocks noChangeAspect="1"/>
            </wp:cNvGraphicFramePr>
            <a:graphic>
              <a:graphicData uri="http://schemas.openxmlformats.org/drawingml/2006/picture">
                <pic:pic>
                  <pic:nvPicPr>
                    <pic:cNvPr id="0" name="uc_sprint_05.png"/>
                    <pic:cNvPicPr/>
                  </pic:nvPicPr>
                  <pic:blipFill>
                    <a:blip r:embed="rId62"/>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3.9 — Diagramme de cas d’utilisation détaillé de la configuration et de la marketplace publique</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3.5 — Description du scénario UC-05</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UC-05 — Configurer et utiliser une marketplace bancaire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S5 — Back-office Banque et marketplace publique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Banque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Visiteur de la marketplace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Configurer les services souscrits et offrir un parcours public adapté à la banque.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Marketplace active, abonnement valide et Administrateur Banque authentifié pour les fonctions privées.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L’administrateur ouvre le Back-office Banque ou le visiteur accède à la marketplace publique.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L’administrateur personnalise les contenus et l’identité de la marketplace. 2. Il configure les stores et modules autorisés. 3. Le visiteur consulte les offres publiées. 4. Si les modules sont actifs, il compare les produits, simule un financement ou utilise le chatbot.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Une demande de renouvellement ou d’ajout de services est transmise au SaaS. Un module non souscrit n’est pas disponible sur la marketplace.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configuration est enregistrée dans le tenant bancaire et les services publics autorisés sont visibles aux visiteurs.</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UC-06 — Inscrire et valider un concessionnaire</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S6.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6" name="Picture 56" descr="Figure 3.10 — Diagramme de cas d’utilisation détaillé de l’inscription et de la validation d’un concessionnaire" title="Figure 3.10 — Diagramme de cas d’utilisation détaillé de l’inscription et de la validation d’un concessionnaire"/>
            <wp:cNvGraphicFramePr>
              <a:graphicFrameLocks noChangeAspect="1"/>
            </wp:cNvGraphicFramePr>
            <a:graphic>
              <a:graphicData uri="http://schemas.openxmlformats.org/drawingml/2006/picture">
                <pic:pic>
                  <pic:nvPicPr>
                    <pic:cNvPr id="0" name="uc_sprint_06.png"/>
                    <pic:cNvPicPr/>
                  </pic:nvPicPr>
                  <pic:blipFill>
                    <a:blip r:embed="rId63"/>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3.10 — Diagramme de cas d’utilisation détaillé de l’inscription et de la validation d’un concessionnaire</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3.6 — Description du scénario UC-06</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UC-06 — Inscrire et valider un concessionnaire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S6 — Inscription et validation du concessionnaire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Représentant du concessionnaire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SaaS et service e-mail</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Obtenir un compte concessionnaire après contrôle du dossier et des pièces justificatives.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Formulaire public accessible et documents requis disponibles.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représentant démarre une demande d’inscription concessionnaire.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Le représentant renseigne les données de l’entreprise. 2. Il joint les justificatifs. 3. Il soumet la demande. 4. L’Administrateur SaaS consulte le dossier. 5. Il l’approuve. 6. Le système crée le compte DEALER_ADMIN et transmet les identifiants par e-mail.</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SaaS rejette le dossier avec un motif, qui est communiqué au demandeur. Le représentant peut soumettre un nouveau dossier corrigé.</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concessionnaire possède un compte actif, ou sa demande est rejetée avec traçabilité de la décision.</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UC-07 — Gérer un partenariat et un contrat</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S7.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7" name="Picture 57" descr="Figure 3.11 — Diagramme de cas d’utilisation détaillé du partenariat et du contrat" title="Figure 3.11 — Diagramme de cas d’utilisation détaillé du partenariat et du contrat"/>
            <wp:cNvGraphicFramePr>
              <a:graphicFrameLocks noChangeAspect="1"/>
            </wp:cNvGraphicFramePr>
            <a:graphic>
              <a:graphicData uri="http://schemas.openxmlformats.org/drawingml/2006/picture">
                <pic:pic>
                  <pic:nvPicPr>
                    <pic:cNvPr id="0" name="uc_sprint_07.png"/>
                    <pic:cNvPicPr/>
                  </pic:nvPicPr>
                  <pic:blipFill>
                    <a:blip r:embed="rId64"/>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3.11 — Diagramme de cas d’utilisation détaillé du partenariat et du contrat</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3.7 — Description du scénario UC-07</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UC-07 — Gérer un partenariat et un contrat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S7 — Partenariats et contrats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Concessionnaire ou Administrateur Banque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Autre partie et service e-mail</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Établir une relation commerciale active permettant la publication des produits dans la marketplace partenaire.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Concessionnaire approuvé, banque et store compatibles.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banque ou le concessionnaire initie une demande de partenariat.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Une partie crée la demande. 2. La partie concernée l’examine. 3. Elle l’accepte. 4. La banque prépare le contrat. 5. Le contrat est envoyé au concessionnaire. 6. Le concessionnaire l’accepte. 7. La relation commerciale devient active.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demande peut être rejetée avec un motif. Le contrat peut rester en brouillon, être refusé, expirer ou être résilié selon son cycle de vie.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 partenariat et un contrat actifs autorisent les actions de publication ; sinon, la décision est enregistrée.</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UC-08 — Gérer et publier un produit concessionnaire</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S8.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8" name="Picture 58" descr="Figure 3.12 — Diagramme de cas d’utilisation détaillé de la gestion et de la publication des produits" title="Figure 3.12 — Diagramme de cas d’utilisation détaillé de la gestion et de la publication des produits"/>
            <wp:cNvGraphicFramePr>
              <a:graphicFrameLocks noChangeAspect="1"/>
            </wp:cNvGraphicFramePr>
            <a:graphic>
              <a:graphicData uri="http://schemas.openxmlformats.org/drawingml/2006/picture">
                <pic:pic>
                  <pic:nvPicPr>
                    <pic:cNvPr id="0" name="uc_sprint_08.png"/>
                    <pic:cNvPicPr/>
                  </pic:nvPicPr>
                  <pic:blipFill>
                    <a:blip r:embed="rId65"/>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3.12 — Diagramme de cas d’utilisation détaillé de la gestion et de la publication des produits</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3.8 — Description du scénario UC-08</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UC-08 — Gérer et publier un produit concessionnaire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S8 — Produits, publications et suivi des dossiers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Concessionnaire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Banque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Centraliser le catalogue et rendre un produit visible dans une marketplace partenaire après validation.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Concessionnaire actif, produit renseigné, partenariat et contrat actifs pour la banque ciblée.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concessionnaire crée, met à jour ou souhaite publier un produit.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Le concessionnaire crée ou modifie la fiche produit. 2. Il gère les documents et le stock centralisé. 3. Il soumet une publication pour une banque partenaire. 4. La banque l’examine et l’approuve. 5. Le produit devient visible dans la marketplace correspondante. 6. Le concessionnaire suit les dossiers liés à ses produits.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banque rejette la publication avec un motif. Le concessionnaire corrige les informations puis soumet à nouveau. Une demande de financement rejetée ne réserve pas de stock.</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La publication est approuvée ou rejetée dans le périmètre de la banque ; le produit source et son stock restent centralisés.</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UC-09 — Déposer et traiter une demande de financement</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S9.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59" name="Picture 59" descr="Figure 3.13 — Diagramme de cas d’utilisation détaillé de la demande de financement" title="Figure 3.13 — Diagramme de cas d’utilisation détaillé de la demande de financement"/>
            <wp:cNvGraphicFramePr>
              <a:graphicFrameLocks noChangeAspect="1"/>
            </wp:cNvGraphicFramePr>
            <a:graphic>
              <a:graphicData uri="http://schemas.openxmlformats.org/drawingml/2006/picture">
                <pic:pic>
                  <pic:nvPicPr>
                    <pic:cNvPr id="0" name="uc_sprint_09.png"/>
                    <pic:cNvPicPr/>
                  </pic:nvPicPr>
                  <pic:blipFill>
                    <a:blip r:embed="rId66"/>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3.13 — Diagramme de cas d’utilisation détaillé de la demande de financement</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3.9 — Description du scénario UC-09</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UC-09 — Déposer et traiter une demande de financement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S9 — Parcours client et demande de financement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Client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Banque, concessionnaire et service e-mail</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Constituer un dossier complet puis obtenir une décision de la banque concernée.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Marketplace et store actifs ; client inscrit et connecté ; produit éligible.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client souhaite poursuivre après la consultation ou la simulation d’un produit.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Le client crée et vérifie son compte. 2. Il consulte les produits et, si disponibles, utilise le comparateur ou le simulateur. 3. Il crée un dossier brouillon. 4. Il joint les pièces obligatoires. 5. Il soumet le dossier à l’état en attente. 6. La banque consulte le dossier et les documents. 7. Elle accepte ou rejette. 8. Le client est notifié ; un stock est réservé pour un produit concessionnaire accepté.</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client complète un brouillon incomplet avant soumission. En cas de rejet, la banque saisit obligatoirement le motif. Le concessionnaire consulte uniquement le suivi et ne prend pas la décision bancaire.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Le dossier est accepté ou rejeté avec une décision persistée et communiquée au client.</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UC-10 — Utiliser les assistants conversationnels</w:t>
      </w:r>
    </w:p>
    <w:p>
      <w:pPr>
        <w:spacing w:line="360" w:lineRule="auto"/>
        <w:jc w:val="both"/>
        <w:rPr>
          <w:rFonts w:asciiTheme="majorBidi" w:hAnsiTheme="majorBidi"/>
          <w:sz w:val="24"/>
          <w:szCs w:val="24"/>
        </w:rPr>
      </w:pPr>
      <w:r>
        <w:rPr>
          <w:rFonts w:asciiTheme="majorBidi" w:hAnsiTheme="majorBidi" w:cstheme="majorBidi"/>
          <w:sz w:val="24"/>
          <w:szCs w:val="24"/>
        </w:rPr>
        <w:t>Ce cas d’utilisation détaille le processus couvert par le sprint S10. La figure et le tableau associés précisent les responsabilités des acteurs, les contrôles métier et les résultats attendus.</w:t>
      </w:r>
    </w:p>
    <w:p>
      <w:pPr>
        <w:keepNext/>
        <w:jc w:val="center"/>
      </w:pPr>
      <w:r>
        <w:drawing>
          <wp:inline xmlns:a="http://schemas.openxmlformats.org/drawingml/2006/main" xmlns:pic="http://schemas.openxmlformats.org/drawingml/2006/picture">
            <wp:extent cx="5623560" cy="3706437"/>
            <wp:docPr id="60" name="Picture 60" descr="Figure 3.14 — Diagramme de cas d’utilisation détaillé des assistants conversationnels" title="Figure 3.14 — Diagramme de cas d’utilisation détaillé des assistants conversationnels"/>
            <wp:cNvGraphicFramePr>
              <a:graphicFrameLocks noChangeAspect="1"/>
            </wp:cNvGraphicFramePr>
            <a:graphic>
              <a:graphicData uri="http://schemas.openxmlformats.org/drawingml/2006/picture">
                <pic:pic>
                  <pic:nvPicPr>
                    <pic:cNvPr id="0" name="uc_sprint_10.png"/>
                    <pic:cNvPicPr/>
                  </pic:nvPicPr>
                  <pic:blipFill>
                    <a:blip r:embed="rId67"/>
                    <a:stretch>
                      <a:fillRect/>
                    </a:stretch>
                  </pic:blipFill>
                  <pic:spPr>
                    <a:xfrm>
                      <a:off x="0" y="0"/>
                      <a:ext cx="5623560" cy="37064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3.14 — Diagramme de cas d’utilisation détaillé des assistants conversationnels</w:t>
      </w:r>
    </w:p>
    <w:p>
      <w:pPr>
        <w:spacing w:line="360" w:lineRule="auto"/>
        <w:jc w:val="both"/>
        <w:rPr>
          <w:rFonts w:asciiTheme="majorBidi" w:hAnsiTheme="majorBidi"/>
          <w:sz w:val="24"/>
          <w:szCs w:val="24"/>
        </w:rPr>
      </w:pPr>
      <w:r>
        <w:rPr>
          <w:rFonts w:asciiTheme="majorBidi" w:hAnsiTheme="majorBidi" w:cstheme="majorBidi"/>
          <w:sz w:val="24"/>
          <w:szCs w:val="24"/>
        </w:rPr>
        <w:t>Le tableau suivant formalise le scénario du cas d’utilisation conformément aux éléments de base d’une description UML.</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3.10 — Description du scénario UC-10</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160"/>
            <w:shd w:fill="D9D9D9"/>
            <w:vAlign w:val="center"/>
            <w:tcMar>
              <w:top w:w="100" w:type="dxa"/>
              <w:start w:w="100" w:type="dxa"/>
              <w:bottom w:w="100" w:type="dxa"/>
              <w:end w:w="100" w:type="dxa"/>
            </w:tcMar>
          </w:tcPr>
          <w:p>
            <w:pPr>
              <w:spacing w:after="0" w:line="252" w:lineRule="auto"/>
              <w:jc w:val="center"/>
            </w:pPr>
            <w:r>
              <w:rPr>
                <w:rFonts w:ascii="Arial" w:hAnsi="Arial"/>
                <w:b/>
                <w:sz w:val="18"/>
              </w:rPr>
              <w:t>Élément</w:t>
            </w:r>
          </w:p>
        </w:tc>
        <w:tc>
          <w:tcPr>
            <w:tcW w:type="dxa" w:w="7200"/>
            <w:shd w:fill="D9D9D9"/>
            <w:vAlign w:val="center"/>
            <w:tcMar>
              <w:top w:w="100" w:type="dxa"/>
              <w:start w:w="100" w:type="dxa"/>
              <w:bottom w:w="100" w:type="dxa"/>
              <w:end w:w="100" w:type="dxa"/>
            </w:tcMar>
          </w:tcPr>
          <w:p>
            <w:pPr>
              <w:spacing w:after="0" w:line="252" w:lineRule="auto"/>
              <w:jc w:val="center"/>
            </w:pPr>
            <w:r>
              <w:rPr>
                <w:rFonts w:ascii="Arial" w:hAnsi="Arial"/>
                <w:b/>
                <w:sz w:val="18"/>
              </w:rPr>
              <w:t>Description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Identifiant</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UC-10 — Utiliser les assistants conversationnels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Sprint associé</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S10 — Assistants conversationnels et validation</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 principal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SaaS ou visiteur</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Acteurs secondaires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Gemini pour l’assistant SaaS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Objectif</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Faciliter la consultation analytique du SaaS et l’orientation des visiteurs dans une marketplace publique.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Préconditions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Administrateur SaaS authentifié pour l’assistant analytique ; module Chatbot actif pour le chatbot public.</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Déclencheur</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L’utilisateur formule une question ou envoie un message.</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Scénario nominal</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1. L’Administrateur SaaS pose une question. 2. Le système construit un contexte de données autorisé. 3. Gemini propose une requête. 4. Le validateur autorise uniquement une lecture contrôlée. 5. Le système restitue une réponse métier. Pour le chatbot, le visiteur envoie un message ; le système détecte une intention et répond uniquement à partir des données publiques du tenant.</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Alternatives et exceptions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Une requête analytique non conforme est refusée sans exécution. Le chatbot peut orienter vers le comparateur ou le simulateur si ces modules sont actifs.</w:t>
            </w:r>
          </w:p>
        </w:tc>
      </w:tr>
      <w:tr>
        <w:tc>
          <w:tcPr>
            <w:tcW w:type="dxa" w:w="2160"/>
            <w:vAlign w:val="center"/>
            <w:tcMar>
              <w:top w:w="100" w:type="dxa"/>
              <w:start w:w="100" w:type="dxa"/>
              <w:bottom w:w="100" w:type="dxa"/>
              <w:end w:w="100" w:type="dxa"/>
            </w:tcMar>
          </w:tcPr>
          <w:p>
            <w:pPr>
              <w:spacing w:after="0" w:line="252" w:lineRule="auto"/>
              <w:jc w:val="left"/>
            </w:pPr>
            <w:r>
              <w:rPr>
                <w:rFonts w:ascii="Arial" w:hAnsi="Arial"/>
                <w:b/>
                <w:sz w:val="17"/>
              </w:rPr>
              <w:t>Postconditions</w:t>
            </w:r>
          </w:p>
        </w:tc>
        <w:tc>
          <w:tcPr>
            <w:tcW w:type="dxa" w:w="7200"/>
            <w:vAlign w:val="center"/>
            <w:tcMar>
              <w:top w:w="100" w:type="dxa"/>
              <w:start w:w="100" w:type="dxa"/>
              <w:bottom w:w="100" w:type="dxa"/>
              <w:end w:w="100" w:type="dxa"/>
            </w:tcMar>
          </w:tcPr>
          <w:p>
            <w:pPr>
              <w:spacing w:after="0" w:line="252" w:lineRule="auto"/>
              <w:jc w:val="left"/>
            </w:pPr>
            <w:r>
              <w:rPr>
                <w:rFonts w:ascii="Arial" w:hAnsi="Arial"/>
                <w:b w:val="0"/>
                <w:sz w:val="17"/>
              </w:rPr>
              <w:t>Une réponse sécurisée est affichée sans modification de données ni exposition d’informations privées ou inter-tenants.</w:t>
            </w:r>
          </w:p>
        </w:tc>
      </w:tr>
    </w:tbl>
    <w:p>
      <w:pPr>
        <w:spacing w:line="360" w:lineRule="auto"/>
        <w:jc w:val="both"/>
        <w:rPr>
          <w:rFonts w:asciiTheme="majorBidi" w:hAnsiTheme="majorBidi"/>
          <w:sz w:val="24"/>
          <w:szCs w:val="24"/>
        </w:rPr>
      </w:pPr>
      <w:r>
        <w:rPr>
          <w:rFonts w:asciiTheme="majorBidi" w:hAnsiTheme="majorBidi" w:cstheme="majorBidi"/>
          <w:sz w:val="24"/>
          <w:szCs w:val="24"/>
        </w:rPr>
      </w:r>
    </w:p>
    <w:p>
      <w:pPr>
        <w:spacing w:line="360" w:lineRule="auto"/>
        <w:jc w:val="both"/>
        <w:rPr>
          <w:rFonts w:asciiTheme="majorBidi" w:hAnsiTheme="majorBidi"/>
          <w:sz w:val="24"/>
          <w:szCs w:val="24"/>
        </w:rPr>
      </w:pPr>
      <w:r>
        <w:rPr>
          <w:rFonts w:asciiTheme="majorBidi" w:hAnsiTheme="majorBidi" w:cstheme="majorBidi"/>
          <w:sz w:val="24"/>
          <w:szCs w:val="24"/>
        </w:rPr>
        <w:t>Cette modélisation relie ainsi la planification Agile, les besoins fonctionnels et les réalisations présentées dans les chapitres suivants. Elle constitue une référence pour la validation des processus métier et la recette de la plateforme.</w:t>
      </w:r>
    </w:p>
    <w:p w:rsidR="00DA2CB7" w:rsidRDefault="002C185C" w:rsidP="002C185C">
      <w:pPr>
        <w:pStyle w:val="Heading1"/>
        <w:jc w:val="center"/>
        <w:rPr>
          <w:rFonts w:asciiTheme="majorBidi" w:hAnsiTheme="majorBidi"/>
          <w:b/>
          <w:bCs/>
          <w:color w:val="auto"/>
          <w:sz w:val="36"/>
          <w:szCs w:val="36"/>
        </w:rPr>
      </w:pPr>
      <w:bookmarkStart w:id="44" w:name="_Toc239287533"/>
      <w:r w:rsidRPr="002C185C">
        <w:rPr>
          <w:rFonts w:asciiTheme="majorBidi" w:hAnsiTheme="majorBidi"/>
          <w:b/>
          <w:bCs/>
          <w:color w:val="auto"/>
          <w:sz w:val="36"/>
          <w:szCs w:val="36"/>
        </w:rPr>
        <w:lastRenderedPageBreak/>
        <w:t xml:space="preserve">Chapitre 4 : Mise en œuvre du cycle de vie des </w:t>
      </w:r>
      <w:proofErr w:type="spellStart"/>
      <w:r w:rsidRPr="002C185C">
        <w:rPr>
          <w:rFonts w:asciiTheme="majorBidi" w:hAnsiTheme="majorBidi"/>
          <w:b/>
          <w:bCs/>
          <w:color w:val="auto"/>
          <w:sz w:val="36"/>
          <w:szCs w:val="36"/>
        </w:rPr>
        <w:t>marketplaces</w:t>
      </w:r>
      <w:proofErr w:type="spellEnd"/>
      <w:r w:rsidRPr="002C185C">
        <w:rPr>
          <w:rFonts w:asciiTheme="majorBidi" w:hAnsiTheme="majorBidi"/>
          <w:b/>
          <w:bCs/>
          <w:color w:val="auto"/>
          <w:sz w:val="36"/>
          <w:szCs w:val="36"/>
        </w:rPr>
        <w:t xml:space="preserve"> bancaires : </w:t>
      </w:r>
      <w:proofErr w:type="spellStart"/>
      <w:r w:rsidRPr="002C185C">
        <w:rPr>
          <w:rFonts w:asciiTheme="majorBidi" w:hAnsiTheme="majorBidi"/>
          <w:b/>
          <w:bCs/>
          <w:color w:val="auto"/>
          <w:sz w:val="36"/>
          <w:szCs w:val="36"/>
        </w:rPr>
        <w:t>onboarding</w:t>
      </w:r>
      <w:proofErr w:type="spellEnd"/>
      <w:r w:rsidRPr="002C185C">
        <w:rPr>
          <w:rFonts w:asciiTheme="majorBidi" w:hAnsiTheme="majorBidi"/>
          <w:b/>
          <w:bCs/>
          <w:color w:val="auto"/>
          <w:sz w:val="36"/>
          <w:szCs w:val="36"/>
        </w:rPr>
        <w:t>, configuration, abonnement et activation</w:t>
      </w:r>
      <w:bookmarkEnd w:id="44"/>
    </w:p>
    <w:p w:rsidR="002C185C" w:rsidRDefault="002C185C" w:rsidP="002C185C"/>
    <w:p w:rsidR="002C185C" w:rsidRDefault="002C185C" w:rsidP="002C185C">
      <w:pPr>
        <w:pStyle w:val="Heading2"/>
        <w:rPr>
          <w:rFonts w:asciiTheme="majorBidi" w:hAnsiTheme="majorBidi"/>
          <w:b/>
          <w:bCs/>
          <w:color w:val="auto"/>
          <w:sz w:val="32"/>
          <w:szCs w:val="32"/>
        </w:rPr>
      </w:pPr>
      <w:bookmarkStart w:id="45" w:name="_Toc239287534"/>
      <w:r w:rsidRPr="002C185C">
        <w:rPr>
          <w:rFonts w:asciiTheme="majorBidi" w:hAnsiTheme="majorBidi"/>
          <w:b/>
          <w:bCs/>
          <w:color w:val="auto"/>
          <w:sz w:val="32"/>
          <w:szCs w:val="32"/>
        </w:rPr>
        <w:t>1. Introduction</w:t>
      </w:r>
      <w:bookmarkEnd w:id="45"/>
    </w:p>
    <w:p w:rsidR="009124D7" w:rsidRDefault="00715A11" w:rsidP="00715A11">
      <w:pPr>
        <w:pStyle w:val="NormalWeb"/>
        <w:spacing w:line="360" w:lineRule="auto"/>
        <w:jc w:val="both"/>
      </w:pPr>
      <w:r>
        <w:t xml:space="preserve">Ce chapitre est consacré à la réalisation de la plateforme </w:t>
      </w:r>
      <w:proofErr w:type="spellStart"/>
      <w:r>
        <w:rPr>
          <w:rStyle w:val="Strong"/>
        </w:rPr>
        <w:t>Matchia</w:t>
      </w:r>
      <w:proofErr w:type="spellEnd"/>
      <w:r>
        <w:t xml:space="preserve"> et à la mise en œuvre de ses principales fonctionnalités. Il présente le parcours complet de création d’une </w:t>
      </w:r>
      <w:proofErr w:type="spellStart"/>
      <w:r>
        <w:t>marketplace</w:t>
      </w:r>
      <w:proofErr w:type="spellEnd"/>
      <w:r>
        <w:t xml:space="preserv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46" w:name="_Toc239287535"/>
      <w:r w:rsidRPr="009124D7">
        <w:rPr>
          <w:rFonts w:asciiTheme="majorBidi" w:hAnsiTheme="majorBidi"/>
          <w:b/>
          <w:bCs/>
          <w:color w:val="auto"/>
          <w:sz w:val="32"/>
          <w:szCs w:val="32"/>
        </w:rPr>
        <w:t>2. Authentification, autorisation et contexte multi-tenant</w:t>
      </w:r>
      <w:bookmarkEnd w:id="46"/>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 xml:space="preserve">Administrateur </w:t>
      </w:r>
      <w:proofErr w:type="spellStart"/>
      <w:r w:rsidRPr="009124D7">
        <w:rPr>
          <w:rStyle w:val="Strong"/>
          <w:rFonts w:asciiTheme="majorBidi" w:hAnsiTheme="majorBidi" w:cstheme="majorBidi"/>
          <w:b w:val="0"/>
          <w:bCs w:val="0"/>
          <w:sz w:val="24"/>
          <w:szCs w:val="24"/>
        </w:rPr>
        <w:t>SaaS</w:t>
      </w:r>
      <w:proofErr w:type="spellEnd"/>
      <w:r w:rsidRPr="009124D7">
        <w:rPr>
          <w:rStyle w:val="Strong"/>
          <w:rFonts w:asciiTheme="majorBidi" w:hAnsiTheme="majorBidi" w:cstheme="majorBidi"/>
          <w:b w:val="0"/>
          <w:bCs w:val="0"/>
          <w:sz w:val="24"/>
          <w:szCs w:val="24"/>
        </w:rPr>
        <w:t>,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 xml:space="preserve">Administrateur </w:t>
      </w:r>
      <w:proofErr w:type="spellStart"/>
      <w:r w:rsidRPr="00963EE5">
        <w:rPr>
          <w:rStyle w:val="Strong"/>
          <w:b w:val="0"/>
          <w:bCs w:val="0"/>
        </w:rPr>
        <w:t>SaaS</w:t>
      </w:r>
      <w:proofErr w:type="spellEnd"/>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w:t>
      </w:r>
      <w:proofErr w:type="spellStart"/>
      <w:r>
        <w:t>marketplace</w:t>
      </w:r>
      <w:proofErr w:type="spellEnd"/>
      <w:r>
        <w:t xml:space="preserv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w:t>
      </w:r>
      <w:proofErr w:type="spellStart"/>
      <w:r>
        <w:t>marketplace</w:t>
      </w:r>
      <w:proofErr w:type="spellEnd"/>
      <w:r>
        <w:t xml:space="preserv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47" w:name="_Toc239287536"/>
      <w:r w:rsidRPr="00963EE5">
        <w:rPr>
          <w:rFonts w:asciiTheme="majorBidi" w:hAnsiTheme="majorBidi"/>
          <w:b/>
          <w:bCs/>
          <w:color w:val="auto"/>
          <w:sz w:val="32"/>
          <w:szCs w:val="32"/>
        </w:rPr>
        <w:t xml:space="preserve">3. Demande de création d’une </w:t>
      </w:r>
      <w:proofErr w:type="spellStart"/>
      <w:r w:rsidRPr="00963EE5">
        <w:rPr>
          <w:rFonts w:asciiTheme="majorBidi" w:hAnsiTheme="majorBidi"/>
          <w:b/>
          <w:bCs/>
          <w:color w:val="auto"/>
          <w:sz w:val="32"/>
          <w:szCs w:val="32"/>
        </w:rPr>
        <w:t>marketplace</w:t>
      </w:r>
      <w:proofErr w:type="spellEnd"/>
      <w:r w:rsidRPr="00963EE5">
        <w:rPr>
          <w:rFonts w:asciiTheme="majorBidi" w:hAnsiTheme="majorBidi"/>
          <w:b/>
          <w:bCs/>
          <w:color w:val="auto"/>
          <w:sz w:val="32"/>
          <w:szCs w:val="32"/>
        </w:rPr>
        <w:t xml:space="preserve"> bancaire</w:t>
      </w:r>
      <w:bookmarkEnd w:id="47"/>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La première étape du processus consiste pour une banque à soumettre une demande d’adhésion à </w:t>
      </w:r>
      <w:proofErr w:type="spellStart"/>
      <w:r w:rsidRPr="00963EE5">
        <w:rPr>
          <w:rFonts w:ascii="Times New Roman" w:eastAsia="Times New Roman" w:hAnsi="Times New Roman" w:cs="Times New Roman"/>
          <w:sz w:val="24"/>
          <w:szCs w:val="24"/>
          <w:lang w:eastAsia="fr-FR"/>
        </w:rPr>
        <w:t>Matchia</w:t>
      </w:r>
      <w:proofErr w:type="spellEnd"/>
      <w:r w:rsidRPr="00963EE5">
        <w:rPr>
          <w:rFonts w:ascii="Times New Roman" w:eastAsia="Times New Roman" w:hAnsi="Times New Roman" w:cs="Times New Roman"/>
          <w:sz w:val="24"/>
          <w:szCs w:val="24"/>
          <w:lang w:eastAsia="fr-FR"/>
        </w:rPr>
        <w:t xml:space="preserve">. Cette démarche est accessible depuis l’espace public de la plateforme et permet au demandeur de renseigner progressivement les informations nécessaires à la création de sa future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 xml:space="preserve">Afin de faciliter la saisie et de limiter les demandes incomplètes, le formulaire est organisé en plusieurs étapes successives. Le parcours comprend les informations de la banque, les coordonnées du futur administrateur, la configuration initiale de la </w:t>
      </w:r>
      <w:proofErr w:type="spellStart"/>
      <w:r w:rsidRPr="00963EE5">
        <w:rPr>
          <w:rFonts w:ascii="Times New Roman" w:eastAsia="Times New Roman" w:hAnsi="Times New Roman" w:cs="Times New Roman"/>
          <w:sz w:val="24"/>
          <w:szCs w:val="24"/>
          <w:lang w:eastAsia="fr-FR"/>
        </w:rPr>
        <w:t>marketplace</w:t>
      </w:r>
      <w:proofErr w:type="spellEnd"/>
      <w:r w:rsidRPr="00963EE5">
        <w:rPr>
          <w:rFonts w:ascii="Times New Roman" w:eastAsia="Times New Roman" w:hAnsi="Times New Roman" w:cs="Times New Roman"/>
          <w:sz w:val="24"/>
          <w:szCs w:val="24"/>
          <w:lang w:eastAsia="fr-FR"/>
        </w:rPr>
        <w:t>,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8" w:name="_Toc239287537"/>
      <w:r w:rsidRPr="00963EE5">
        <w:rPr>
          <w:rFonts w:asciiTheme="majorBidi" w:hAnsiTheme="majorBidi"/>
          <w:b/>
          <w:bCs/>
          <w:color w:val="000000" w:themeColor="text1"/>
          <w:sz w:val="28"/>
          <w:szCs w:val="28"/>
        </w:rPr>
        <w:t>3.1. Renseignement des informations de la banque</w:t>
      </w:r>
      <w:bookmarkEnd w:id="48"/>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 xml:space="preserve">La figure présente le premier écran du formulaire avec les différentes informations demandées ainsi que la zone de </w:t>
      </w:r>
      <w:proofErr w:type="spellStart"/>
      <w:r w:rsidRPr="00662874">
        <w:rPr>
          <w:rFonts w:asciiTheme="majorBidi" w:eastAsia="Times New Roman" w:hAnsiTheme="majorBidi" w:cstheme="majorBidi"/>
          <w:sz w:val="24"/>
          <w:szCs w:val="24"/>
          <w:lang w:eastAsia="fr-FR"/>
        </w:rPr>
        <w:t>téléversement</w:t>
      </w:r>
      <w:proofErr w:type="spellEnd"/>
      <w:r w:rsidRPr="00662874">
        <w:rPr>
          <w:rFonts w:asciiTheme="majorBidi" w:eastAsia="Times New Roman" w:hAnsiTheme="majorBidi" w:cstheme="majorBidi"/>
          <w:sz w:val="24"/>
          <w:szCs w:val="24"/>
          <w:lang w:eastAsia="fr-FR"/>
        </w:rPr>
        <w:t xml:space="preserve">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39287538"/>
      <w:r w:rsidRPr="00514419">
        <w:rPr>
          <w:rFonts w:asciiTheme="majorBidi" w:hAnsiTheme="majorBidi"/>
          <w:b/>
          <w:bCs/>
          <w:color w:val="000000" w:themeColor="text1"/>
          <w:sz w:val="28"/>
          <w:szCs w:val="28"/>
        </w:rPr>
        <w:t>3.2. Informations du futur Administrateur Banque et vérification de l’adresse e-mail</w:t>
      </w:r>
      <w:bookmarkEnd w:id="49"/>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deuxième étape est consacrée au futur administrateur de la </w:t>
      </w:r>
      <w:proofErr w:type="spellStart"/>
      <w:r w:rsidRPr="00514419">
        <w:rPr>
          <w:rFonts w:ascii="Times New Roman" w:eastAsia="Times New Roman" w:hAnsi="Times New Roman" w:cs="Times New Roman"/>
          <w:sz w:val="24"/>
          <w:szCs w:val="24"/>
          <w:lang w:eastAsia="fr-FR"/>
        </w:rPr>
        <w:t>marketplace</w:t>
      </w:r>
      <w:proofErr w:type="spellEnd"/>
      <w:r w:rsidRPr="00514419">
        <w:rPr>
          <w:rFonts w:ascii="Times New Roman" w:eastAsia="Times New Roman" w:hAnsi="Times New Roman" w:cs="Times New Roman"/>
          <w:sz w:val="24"/>
          <w:szCs w:val="24"/>
          <w:lang w:eastAsia="fr-FR"/>
        </w:rPr>
        <w:t>.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La figure doit présenter l’interface de saisie du code ainsi que la confirmation de la vérification de l’adresse électronique. Les informations personnelles utilisées dans les captures doivent être </w:t>
      </w:r>
      <w:proofErr w:type="spellStart"/>
      <w:r w:rsidRPr="00514419">
        <w:rPr>
          <w:rFonts w:ascii="Times New Roman" w:eastAsia="Times New Roman" w:hAnsi="Times New Roman" w:cs="Times New Roman"/>
          <w:sz w:val="24"/>
          <w:szCs w:val="24"/>
          <w:lang w:eastAsia="fr-FR"/>
        </w:rPr>
        <w:t>anonymisées</w:t>
      </w:r>
      <w:proofErr w:type="spellEnd"/>
      <w:r w:rsidRPr="00514419">
        <w:rPr>
          <w:rFonts w:ascii="Times New Roman" w:eastAsia="Times New Roman" w:hAnsi="Times New Roman" w:cs="Times New Roman"/>
          <w:sz w:val="24"/>
          <w:szCs w:val="24"/>
          <w:lang w:eastAsia="fr-FR"/>
        </w:rPr>
        <w:t>.</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0" w:name="_Toc23928753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 xml:space="preserve">a </w:t>
      </w:r>
      <w:proofErr w:type="spellStart"/>
      <w:r w:rsidR="00514419">
        <w:rPr>
          <w:rFonts w:asciiTheme="majorBidi" w:hAnsiTheme="majorBidi"/>
          <w:b/>
          <w:bCs/>
          <w:color w:val="000000" w:themeColor="text1"/>
          <w:sz w:val="28"/>
          <w:szCs w:val="28"/>
        </w:rPr>
        <w:t>marketplace</w:t>
      </w:r>
      <w:proofErr w:type="spellEnd"/>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50"/>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 xml:space="preserve">Cette étape permet notamment de définir certains éléments propres à l’identité de la </w:t>
      </w:r>
      <w:proofErr w:type="spellStart"/>
      <w:r w:rsidRPr="00FD40B6">
        <w:rPr>
          <w:rFonts w:asciiTheme="majorBidi" w:hAnsiTheme="majorBidi" w:cstheme="majorBidi"/>
        </w:rPr>
        <w:t>marketplace</w:t>
      </w:r>
      <w:proofErr w:type="spellEnd"/>
      <w:r w:rsidRPr="00FD40B6">
        <w:rPr>
          <w:rFonts w:asciiTheme="majorBidi" w:hAnsiTheme="majorBidi" w:cstheme="majorBidi"/>
        </w:rPr>
        <w:t>,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 xml:space="preserve">La banque sélectionne ensuite les stores qu’elle souhaite intégrer à sa future </w:t>
      </w:r>
      <w:proofErr w:type="spellStart"/>
      <w:r w:rsidRPr="00FD40B6">
        <w:rPr>
          <w:rFonts w:asciiTheme="majorBidi" w:eastAsia="Times New Roman" w:hAnsiTheme="majorBidi" w:cstheme="majorBidi"/>
          <w:sz w:val="24"/>
          <w:szCs w:val="24"/>
          <w:lang w:eastAsia="fr-FR"/>
        </w:rPr>
        <w:t>marketplace</w:t>
      </w:r>
      <w:proofErr w:type="spellEnd"/>
      <w:r w:rsidRPr="00FD40B6">
        <w:rPr>
          <w:rFonts w:asciiTheme="majorBidi" w:eastAsia="Times New Roman" w:hAnsiTheme="majorBidi" w:cstheme="majorBidi"/>
          <w:sz w:val="24"/>
          <w:szCs w:val="24"/>
          <w:lang w:eastAsia="fr-FR"/>
        </w:rPr>
        <w:t>.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Sélection des stores de la </w:t>
      </w:r>
      <w:proofErr w:type="spellStart"/>
      <w:r w:rsidRPr="00FD40B6">
        <w:rPr>
          <w:rFonts w:ascii="Times New Roman" w:eastAsia="Times New Roman" w:hAnsi="Times New Roman" w:cs="Times New Roman"/>
          <w:b/>
          <w:bCs/>
          <w:color w:val="FF0000"/>
          <w:sz w:val="24"/>
          <w:szCs w:val="24"/>
          <w:lang w:eastAsia="fr-FR"/>
        </w:rPr>
        <w:t>marketplace</w:t>
      </w:r>
      <w:proofErr w:type="spellEnd"/>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51" w:name="_Toc23928754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51"/>
    </w:p>
    <w:p w:rsidR="00B6200F" w:rsidRDefault="00B6200F" w:rsidP="00B6200F">
      <w:pPr>
        <w:pStyle w:val="NormalWeb"/>
        <w:spacing w:line="360" w:lineRule="auto"/>
        <w:jc w:val="both"/>
      </w:pPr>
      <w:r>
        <w:t xml:space="preserve">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w:t>
      </w:r>
      <w:proofErr w:type="spellStart"/>
      <w:r>
        <w:t>marketplace</w:t>
      </w:r>
      <w:proofErr w:type="spellEnd"/>
      <w:r>
        <w:t>, les stores sélectionnés, les modules associés à chaque store ainsi que les informations relatives à l’offre choisie.</w:t>
      </w:r>
    </w:p>
    <w:p w:rsidR="00B6200F" w:rsidRDefault="00B6200F" w:rsidP="00B6200F">
      <w:pPr>
        <w:pStyle w:val="NormalWeb"/>
        <w:spacing w:line="360" w:lineRule="auto"/>
        <w:jc w:val="both"/>
      </w:pPr>
      <w:r>
        <w:t xml:space="preserve">Après la soumission, une notification est créée à l’intention de l’Administrateur </w:t>
      </w:r>
      <w:proofErr w:type="spellStart"/>
      <w:r>
        <w:t>SaaS</w:t>
      </w:r>
      <w:proofErr w:type="spellEnd"/>
      <w:r>
        <w:t xml:space="preserve">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pPr>
        <w:pStyle w:val="NormalWeb"/>
        <w:spacing w:line="360" w:lineRule="auto"/>
        <w:jc w:val="both"/>
        <w:outlineLvl w:val="1"/>
        <w:rPr>
          <w:rFonts w:asciiTheme="majorBidi" w:eastAsiaTheme="majorEastAsia" w:hAnsiTheme="majorBidi" w:cstheme="majorBidi"/>
          <w:b/>
          <w:bCs/>
          <w:sz w:val="32"/>
          <w:szCs w:val="32"/>
          <w:lang w:eastAsia="en-US"/>
        </w:rPr>
      </w:pPr>
      <w:r>
        <w:rPr>
          <w:rFonts w:asciiTheme="majorBidi" w:eastAsiaTheme="majorEastAsia" w:hAnsiTheme="majorBidi" w:cstheme="majorBidi"/>
          <w:b/>
          <w:bCs/>
          <w:sz w:val="32"/>
          <w:szCs w:val="32"/>
          <w:lang w:eastAsia="en-US"/>
        </w:rPr>
        <w:t>4. Back-office SaaS : administration et supervision de la plateforme</w:t>
      </w:r>
    </w:p>
    <w:p>
      <w:pPr>
        <w:pStyle w:val="isselectedend"/>
        <w:spacing w:line="360" w:lineRule="auto"/>
        <w:jc w:val="both"/>
        <w:rPr>
          <w:b/>
          <w:bCs/>
        </w:rPr>
      </w:pPr>
      <w:r>
        <w:t>Après la soumission d’une demande, son traitement est assuré par l’Administrateur SaaS. Le Back-office SaaS constitue l’espace central de gouvernance de la plateforme. Il regroupe les fonctionnalités nécessaires au pilotage des ressources partagées, au suivi des demandes et au contrôle du cycle de vie des services proposés aux banques.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 Tableau de bord</w:t>
      </w:r>
    </w:p>
    <w:p>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 principales opérations à suivre. Il permet ainsi à l’Administrateur SaaS d’identifier rapidement les éléments nécessitant son intervention.</w:t>
      </w:r>
    </w:p>
    <w:p>
      <w:pPr>
        <w:pStyle w:val="isselectedend"/>
        <w:rPr>
          <w:color w:val="FF0000"/>
        </w:rPr>
      </w:pPr>
      <w:r>
        <w:rPr>
          <w:rStyle w:val="Strong"/>
          <w:color w:val="FF0000"/>
        </w:rPr>
        <w:t>Figure 4.8 — Tableau de bord de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4.2. Gestion des stores et des modules</w:t>
      </w:r>
    </w:p>
    <w:p>
      <w:pPr>
        <w:pStyle w:val="isselectedend"/>
        <w:spacing w:line="360" w:lineRule="auto"/>
        <w:jc w:val="both"/>
        <w:rPr>
          <w:b/>
          <w:bCs/>
        </w:rPr>
      </w:pPr>
      <w: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ou de l’évolution d’une marketplace. Cette gestion centralisée garantit la cohérence des services mis à disposition des différents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 Gestion des demandes de marketplace</w:t>
      </w:r>
    </w:p>
    <w:p>
      <w:pPr>
        <w:pStyle w:val="isselectedend"/>
        <w:spacing w:line="360" w:lineRule="auto"/>
        <w:jc w:val="both"/>
        <w:rPr>
          <w:b/>
          <w:bCs/>
        </w:rPr>
      </w:pPr>
      <w:r>
        <w:t>La rubrique Demandes centralise les sollicitations reçues pour la création ou l’évolution des services d’une marketplace. Elle facilite leur consultation, leur analyse et leur traitement dans un cadre traçable.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4.3.1. Traitement d’une demande de marketplace</w:t>
      </w:r>
    </w:p>
    <w:p>
      <w:pPr>
        <w:pStyle w:val="isselectedend"/>
        <w:spacing w:line="360" w:lineRule="auto"/>
        <w:jc w:val="both"/>
        <w:rPr>
          <w:b/>
          <w:bCs/>
        </w:rPr>
      </w:pPr>
      <w:r>
        <w:t>L’Administrateur SaaS dispose d’une interface permettant de consulter les demandes reçues et d’accéder à leur détail. La fiche d’une demande présente les informations de la banque, celles du futur administrateur, la configuration souhaitée ainsi que les stores et modules sélectionnés.</w:t>
      </w:r>
    </w:p>
    <w:p>
      <w:pPr>
        <w:pStyle w:val="isselectedend"/>
        <w:spacing w:line="360" w:lineRule="auto"/>
        <w:jc w:val="both"/>
        <w:rPr>
          <w:b/>
          <w:bCs/>
        </w:rPr>
      </w:pPr>
      <w:r>
        <w:t>Après vérification, l’administrateur peut approuver ou rejeter la demande. En cas de rejet, il renseigne le motif de la décision ; un e-mail précisant ce motif est ensuite transmis au demandeur. En cas d’approbation, le processus se poursuit vers l’étape de paiement.</w:t>
      </w:r>
    </w:p>
    <w:p>
      <w:pPr>
        <w:pStyle w:val="isselectedend"/>
        <w:rPr>
          <w:color w:val="FF0000"/>
        </w:rPr>
      </w:pPr>
      <w:r>
        <w:rPr>
          <w:rStyle w:val="Strong"/>
          <w:color w:val="FF0000"/>
        </w:rPr>
        <w:t>Figure 4.9 — Liste des demandes de marketplace dans le Back-office SaaS</w:t>
      </w:r>
    </w:p>
    <w:p>
      <w:pPr>
        <w:pStyle w:val="isselectedend"/>
        <w:rPr>
          <w:color w:val="FF0000"/>
        </w:rPr>
      </w:pPr>
      <w:r>
        <w:rPr>
          <w:rStyle w:val="Strong"/>
          <w:color w:val="FF0000"/>
        </w:rPr>
        <w:t>Figure 4.10 — Consultation du détail d’une demande</w:t>
      </w:r>
    </w:p>
    <w:p>
      <w:pPr>
        <w:pStyle w:val="NormalWeb"/>
        <w:numPr>
          <w:ilvl w:val="0"/>
          <w:numId w:val="26"/>
        </w:numPr>
        <w:spacing w:line="360" w:lineRule="auto"/>
        <w:jc w:val="both"/>
      </w:pPr>
      <w:r>
        <w:t>Le processus décisionnel est également présenté dans le diagramme d’activité suivant.</w:t>
      </w:r>
    </w:p>
    <w:p>
      <w:pPr>
        <w:pStyle w:val="isselectedend"/>
        <w:rPr>
          <w:color w:val="FF0000"/>
        </w:rPr>
      </w:pPr>
      <w:r>
        <w:rPr>
          <w:rStyle w:val="Strong"/>
          <w:color w:val="FF0000"/>
        </w:rPr>
        <w:t>Figure 4.11 — Diagramme d’activité du traitement d’une demande par l’Administrateur SaaS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4.3.2. Approbation et déclenchement du paiement</w:t>
      </w:r>
    </w:p>
    <w:p>
      <w:pPr>
        <w:pStyle w:val="isselectedend"/>
        <w:spacing w:line="360" w:lineRule="auto"/>
        <w:jc w:val="both"/>
        <w:rPr>
          <w:b/>
          <w:bCs/>
        </w:rPr>
      </w:pPr>
      <w:r>
        <w:t>Lorsqu’une demande est approuvée, la plateforme prépare les éléments nécessaires à la future activation de la banque et de sa marketplace. Ces éléments restent toutefois inactifs tant que le paiement n’a pas été confirmé. À cette étape, un e-mail contenant les instructions de paiement et le lien correspondant est envoyé au contact de la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4.3.3. Paiement sécurisé par Stripe et activation de la marketplace</w:t>
      </w:r>
    </w:p>
    <w:p>
      <w:pPr>
        <w:pStyle w:val="NormalWeb"/>
        <w:numPr>
          <w:ilvl w:val="0"/>
          <w:numId w:val="26"/>
        </w:numPr>
        <w:spacing w:line="360" w:lineRule="auto"/>
        <w:jc w:val="both"/>
      </w:pPr>
      <w:r>
        <w:t>Le paiement est une étape déterminante du cycle de vie de la demande. Il est intégré à la plateforme au moyen de Stripe, service de paiement en ligne. Lorsqu’il ouvre le lien reçu, le futur Administrateur Banque accède à une interface de paiement sécurisée dans laquelle il renseigne les informations nécessaires à la transaction. Les données de carte sont traitées par les composants sécurisés de Stripe et ne sont pas enregistrées par l’application.</w:t>
      </w:r>
    </w:p>
    <w:p>
      <w:pPr>
        <w:pStyle w:val="NormalWeb"/>
        <w:numPr>
          <w:ilvl w:val="0"/>
          <w:numId w:val="26"/>
        </w:numPr>
        <w:spacing w:line="360" w:lineRule="auto"/>
        <w:jc w:val="both"/>
      </w:pPr>
      <w:r>
        <w:t>Le backend crée l’opération de paiement et l’associe à la demande ainsi qu’à l’abonnement concerné. Après la confirmation de la transaction, il vérifie le statut retourné par Stripe avant de mettre à jour le paiement. Seule une confirmation de paiement réussie déclenche l’activation de la banque, de sa marketplace, de l’abonnement et du compte Administrateur Banque. En cas d’échec ou de paiement en attente, ces ressources restent inactives.</w:t>
      </w:r>
    </w:p>
    <w:p>
      <w:pPr>
        <w:pStyle w:val="NormalWeb"/>
        <w:numPr>
          <w:ilvl w:val="0"/>
          <w:numId w:val="26"/>
        </w:numPr>
        <w:spacing w:line="360" w:lineRule="auto"/>
        <w:jc w:val="both"/>
      </w:pPr>
      <w:r>
        <w:t>La plateforme génère ensuite les informations nécessaires à la première connexion et envoie au responsable de la banque un e-mail contenant ses identifiants d’accès au Back-office Banque.</w:t>
      </w:r>
    </w:p>
    <w:p>
      <w:pPr>
        <w:pStyle w:val="isselectedend"/>
        <w:spacing w:line="360" w:lineRule="auto"/>
        <w:jc w:val="both"/>
        <w:rPr>
          <w:b/>
          <w:bCs/>
        </w:rPr>
      </w:pPr>
      <w:r>
        <w:t>Le workflow complet est représenté par le diagramme de séquence suivant.</w:t>
      </w:r>
    </w:p>
    <w:p>
      <w:pPr>
        <w:pStyle w:val="isselectedend"/>
        <w:rPr>
          <w:color w:val="FF0000"/>
        </w:rPr>
      </w:pPr>
      <w:r>
        <w:rPr>
          <w:rStyle w:val="Strong"/>
          <w:color w:val="FF0000"/>
        </w:rPr>
        <w:t>Figure 4.12 — Diagramme de séquence de l’approbation, du paiement et de l’activation</w:t>
      </w:r>
    </w:p>
    <w:p>
      <w:pPr>
        <w:pStyle w:val="isselectedend"/>
        <w:rPr>
          <w:color w:val="FF0000"/>
        </w:rPr>
      </w:pPr>
      <w:r>
        <w:rPr>
          <w:rStyle w:val="Strong"/>
          <w:color w:val="FF0000"/>
        </w:rPr>
        <w:t>Figure 4.13 — E-mail contenant les instructions de paiement</w:t>
      </w:r>
    </w:p>
    <w:p>
      <w:pPr>
        <w:pStyle w:val="isselectedend"/>
        <w:rPr>
          <w:color w:val="FF0000"/>
        </w:rPr>
      </w:pPr>
      <w:r>
        <w:rPr>
          <w:rStyle w:val="Strong"/>
          <w:color w:val="FF0000"/>
        </w:rPr>
        <w:t>Figure 4.14 — Confirmation du paiement</w:t>
      </w:r>
    </w:p>
    <w:p>
      <w:pPr>
        <w:pStyle w:val="isselectedend"/>
        <w:rPr>
          <w:color w:val="FF0000"/>
        </w:rPr>
      </w:pPr>
      <w:r>
        <w:rPr>
          <w:rStyle w:val="Strong"/>
          <w:color w:val="FF0000"/>
        </w:rPr>
        <w:t>Figure 4.15 — Activation de la marketplace et de l’abonnement</w:t>
      </w:r>
    </w:p>
    <w:p>
      <w:pPr>
        <w:pStyle w:val="isselectedend"/>
        <w:rPr>
          <w:color w:val="FF0000"/>
        </w:rPr>
      </w:pPr>
      <w:r>
        <w:rPr>
          <w:rStyle w:val="Strong"/>
          <w:color w:val="FF0000"/>
        </w:rPr>
        <w:t>Figure 4.16 — E-mail d’accès au Back-office Banque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4.4. Gestion des banques</w:t>
      </w:r>
    </w:p>
    <w:p>
      <w:pPr>
        <w:pStyle w:val="isselectedend"/>
        <w:spacing w:line="360" w:lineRule="auto"/>
        <w:jc w:val="both"/>
        <w:rPr>
          <w:b/>
          <w:bCs/>
        </w:rPr>
      </w:pPr>
      <w:r>
        <w:t>La rubrique Banques permet à l’Administrateur SaaS de consulter les établissements enregistrés sur la plateforme et de suivre leur état d’activation. Elle offre une vue sur les informations propres à chaque banque et sur la marketplace qui lui est rattachée, tout en respectant le principe d’isolation des données entre tenants.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4.5. Gestion des utilisateurs et des rôles</w:t>
      </w:r>
    </w:p>
    <w:p>
      <w:pPr>
        <w:pStyle w:val="isselectedend"/>
        <w:spacing w:line="360" w:lineRule="auto"/>
        <w:jc w:val="both"/>
        <w:rPr>
          <w:b/>
          <w:bCs/>
        </w:rPr>
      </w:pPr>
      <w: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4.6. Gestion des concessionnaires</w:t>
      </w:r>
    </w:p>
    <w:p>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rubrique permet également de superviser les comptes concessionnaires actifs et leur participation aux marketplaces bancaires.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4.7. Gestion des marketplaces</w:t>
      </w:r>
    </w:p>
    <w:p>
      <w:pPr>
        <w:pStyle w:val="isselectedend"/>
        <w:spacing w:line="360" w:lineRule="auto"/>
        <w:jc w:val="both"/>
        <w:rPr>
          <w:b/>
          <w:bCs/>
        </w:rPr>
      </w:pPr>
      <w:r>
        <w:t>La rubrique Marketplace permet de visualiser les marketplaces créées pour les banques et d’en suivre le statut. Elle constitue un point de contrôle sur les espaces publics associés aux tenants et sur leur disponibilité après validation de l’abonnement.</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4.8. Gestion du contenu des marketplaces</w:t>
      </w:r>
    </w:p>
    <w:p>
      <w:pPr>
        <w:pStyle w:val="isselectedend"/>
        <w:spacing w:line="360" w:lineRule="auto"/>
        <w:jc w:val="both"/>
        <w:rPr>
          <w:b/>
          <w:bCs/>
        </w:rPr>
      </w:pPr>
      <w:r>
        <w:t>La gestion du contenu permet d’administrer les éléments éditoriaux et visuels utilisés par les marketplaces. L’Administrateur SaaS peut ainsi superviser les contenus publiés tout en laissant à chaque banque un périmètre de personnalisation propre à son espace.</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4.9. Gestion des offres et des abonnements</w:t>
      </w:r>
    </w:p>
    <w:p>
      <w:pPr>
        <w:pStyle w:val="isselectedend"/>
        <w:spacing w:line="360" w:lineRule="auto"/>
        <w:jc w:val="both"/>
        <w:rPr>
          <w:b/>
          <w:bCs/>
        </w:rPr>
      </w:pPr>
      <w:r>
        <w:t>Cette rubrique regroupe la gestion des offres commerciales et le suivi des abonnements. L’abonnement établit le lien entre les services sélectionnés par la banque et leur période d’utilisation. Lors de la création initiale, il reste en attente du paiement ; après confirmation, il devient actif et les stores et modules souscrits peuvent être exploités.</w:t>
      </w:r>
    </w:p>
    <w:p>
      <w:pPr>
        <w:pStyle w:val="isselectedend"/>
        <w:spacing w:line="360" w:lineRule="auto"/>
        <w:jc w:val="both"/>
        <w:rPr>
          <w:b/>
          <w:bCs/>
        </w:rPr>
      </w:pPr>
      <w:r>
        <w:t>Le Back-office SaaS permet également de suivre les périodes de validité, les statuts et l’échéance des abonnements, afin d’informer les acteurs concernés lorsqu’un renouvellement est nécessaire. Cette gestion garantit que seuls les services associés à un abonnement valide restent accessibles.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4.10. Audit et logs</w:t>
      </w:r>
    </w:p>
    <w:p>
      <w:pPr>
        <w:pStyle w:val="isselectedend"/>
        <w:spacing w:line="360" w:lineRule="auto"/>
        <w:jc w:val="both"/>
        <w:rPr>
          <w:b/>
          <w:bCs/>
        </w:rPr>
      </w:pPr>
      <w: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pPr>
        <w:spacing w:after="0" w:line="360" w:lineRule="auto"/>
        <w:ind w:left="426"/>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4.11. Paramètres de la plateforme</w:t>
      </w:r>
    </w:p>
    <w:p>
      <w:pPr>
        <w:pStyle w:val="isselectedend"/>
        <w:spacing w:line="360" w:lineRule="auto"/>
        <w:jc w:val="both"/>
        <w:rPr>
          <w:b/>
          <w:bCs/>
        </w:rPr>
      </w:pPr>
      <w:r>
        <w:t>Enfin, la rubrique Paramètres centralise les options de configuration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57" w:name="_Toc239287546"/>
      <w:r w:rsidRPr="004302A8">
        <w:rPr>
          <w:rFonts w:asciiTheme="majorBidi" w:eastAsiaTheme="majorEastAsia" w:hAnsiTheme="majorBidi" w:cstheme="majorBidi"/>
          <w:b/>
          <w:bCs/>
          <w:sz w:val="32"/>
          <w:szCs w:val="32"/>
          <w:lang w:eastAsia="en-US"/>
        </w:rPr>
        <w:t xml:space="preserve">5. Back-office Banque : administration de la </w:t>
      </w:r>
      <w:proofErr w:type="spellStart"/>
      <w:r w:rsidRPr="004302A8">
        <w:rPr>
          <w:rFonts w:asciiTheme="majorBidi" w:eastAsiaTheme="majorEastAsia" w:hAnsiTheme="majorBidi" w:cstheme="majorBidi"/>
          <w:b/>
          <w:bCs/>
          <w:sz w:val="32"/>
          <w:szCs w:val="32"/>
          <w:lang w:eastAsia="en-US"/>
        </w:rPr>
        <w:t>marketplace</w:t>
      </w:r>
      <w:bookmarkEnd w:id="57"/>
      <w:proofErr w:type="spellEnd"/>
    </w:p>
    <w:p w:rsidR="004302A8" w:rsidRDefault="004302A8" w:rsidP="004302A8">
      <w:pPr>
        <w:pStyle w:val="isselectedend"/>
        <w:spacing w:line="360" w:lineRule="auto"/>
        <w:jc w:val="both"/>
      </w:pPr>
      <w:r>
        <w:t xml:space="preserve">Une fois connecté, l’Administrateur Banque dispose d’un espace exclusivement associé à son établissement. Le contexte tenant garantit que les informations affichées correspondent uniquement à sa </w:t>
      </w:r>
      <w:proofErr w:type="spellStart"/>
      <w:r>
        <w:t>marketplace</w:t>
      </w:r>
      <w:proofErr w:type="spellEnd"/>
      <w:r>
        <w:t>.</w:t>
      </w:r>
    </w:p>
    <w:p w:rsidR="004302A8" w:rsidRDefault="004302A8" w:rsidP="004302A8">
      <w:pPr>
        <w:pStyle w:val="NormalWeb"/>
        <w:spacing w:line="360" w:lineRule="auto"/>
        <w:jc w:val="both"/>
      </w:pPr>
      <w:r>
        <w:lastRenderedPageBreak/>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 xml:space="preserve">L’espace bancaire permet à l’Administrateur Banque de gérer la personnalisation de sa </w:t>
      </w:r>
      <w:proofErr w:type="spellStart"/>
      <w:r w:rsidRPr="004302A8">
        <w:rPr>
          <w:rFonts w:ascii="Times New Roman" w:eastAsia="Times New Roman" w:hAnsi="Times New Roman" w:cs="Times New Roman"/>
          <w:sz w:val="24"/>
          <w:szCs w:val="24"/>
          <w:lang w:eastAsia="fr-FR"/>
        </w:rPr>
        <w:t>marketplace</w:t>
      </w:r>
      <w:proofErr w:type="spellEnd"/>
      <w:r w:rsidRPr="004302A8">
        <w:rPr>
          <w:rFonts w:ascii="Times New Roman" w:eastAsia="Times New Roman" w:hAnsi="Times New Roman" w:cs="Times New Roman"/>
          <w:sz w:val="24"/>
          <w:szCs w:val="24"/>
          <w:lang w:eastAsia="fr-FR"/>
        </w:rPr>
        <w:t>,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8" w:name="_Toc239287547"/>
      <w:r w:rsidRPr="004302A8">
        <w:rPr>
          <w:rFonts w:asciiTheme="majorBidi" w:eastAsiaTheme="minorHAnsi" w:hAnsiTheme="majorBidi" w:cstheme="minorBidi"/>
          <w:b/>
          <w:bCs/>
          <w:color w:val="000000" w:themeColor="text1"/>
          <w:sz w:val="28"/>
          <w:szCs w:val="28"/>
          <w:lang w:eastAsia="en-US"/>
        </w:rPr>
        <w:t xml:space="preserve">5.1. Personnalisation de la </w:t>
      </w:r>
      <w:proofErr w:type="spellStart"/>
      <w:r w:rsidRPr="004302A8">
        <w:rPr>
          <w:rFonts w:asciiTheme="majorBidi" w:eastAsiaTheme="minorHAnsi" w:hAnsiTheme="majorBidi" w:cstheme="minorBidi"/>
          <w:b/>
          <w:bCs/>
          <w:color w:val="000000" w:themeColor="text1"/>
          <w:sz w:val="28"/>
          <w:szCs w:val="28"/>
          <w:lang w:eastAsia="en-US"/>
        </w:rPr>
        <w:t>marketplace</w:t>
      </w:r>
      <w:bookmarkEnd w:id="58"/>
      <w:proofErr w:type="spellEnd"/>
    </w:p>
    <w:p w:rsidR="00633002" w:rsidRDefault="00633002" w:rsidP="00633002">
      <w:pPr>
        <w:pStyle w:val="NormalWeb"/>
        <w:spacing w:line="360" w:lineRule="auto"/>
        <w:jc w:val="both"/>
      </w:pPr>
      <w:r>
        <w:t xml:space="preserve">Chaque banque peut personnaliser l’identité visuelle et le contenu de sa </w:t>
      </w:r>
      <w:proofErr w:type="spellStart"/>
      <w:r>
        <w:t>marketplace</w:t>
      </w:r>
      <w:proofErr w:type="spellEnd"/>
      <w:r>
        <w:t xml:space="preserve"> sans modifier le socle applicatif partagé. L’Administrateur Banque dispose ainsi d’outils lui permettant de définir les couleurs principales, le logo, les bannières, les textes d’accueil, les contenus propres à la </w:t>
      </w:r>
      <w:proofErr w:type="spellStart"/>
      <w:r>
        <w:t>marketplace</w:t>
      </w:r>
      <w:proofErr w:type="spellEnd"/>
      <w:r>
        <w:t xml:space="preserv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 xml:space="preserve">Figure 4.18 — Interface de personnalisation de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59" w:name="_Toc23928754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59"/>
    </w:p>
    <w:p w:rsidR="00633002" w:rsidRDefault="00633002" w:rsidP="00633002">
      <w:pPr>
        <w:pStyle w:val="NormalWeb"/>
        <w:spacing w:line="360" w:lineRule="auto"/>
        <w:jc w:val="both"/>
      </w:pPr>
      <w:r>
        <w:t xml:space="preserve">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w:t>
      </w:r>
      <w:proofErr w:type="spellStart"/>
      <w:r>
        <w:t>marketplace</w:t>
      </w:r>
      <w:proofErr w:type="spellEnd"/>
      <w:r>
        <w:t>.</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Les paramètres configurables sont notamment utilisés par le simulateur. La banque peut définir les valeurs nécessaires aux calculs de financement. Ces valeurs sont ensuite exploitées par la </w:t>
      </w:r>
      <w:proofErr w:type="spellStart"/>
      <w:r>
        <w:t>marketplace</w:t>
      </w:r>
      <w:proofErr w:type="spellEnd"/>
      <w:r>
        <w:t xml:space="preserv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 xml:space="preserve">Figure 4.20 — Stores associés à la </w:t>
      </w:r>
      <w:proofErr w:type="spellStart"/>
      <w:r w:rsidRPr="00633002">
        <w:rPr>
          <w:rStyle w:val="Strong"/>
          <w:b w:val="0"/>
          <w:bCs w:val="0"/>
          <w:color w:val="FF0000"/>
        </w:rPr>
        <w:t>marketplace</w:t>
      </w:r>
      <w:proofErr w:type="spellEnd"/>
    </w:p>
    <w:p w:rsidR="00633002" w:rsidRDefault="00633002" w:rsidP="00633002">
      <w:pPr>
        <w:pStyle w:val="NormalWeb"/>
        <w:rPr>
          <w:rStyle w:val="Strong"/>
          <w:b w:val="0"/>
          <w:bCs w:val="0"/>
          <w:color w:val="FF0000"/>
        </w:rPr>
      </w:pPr>
      <w:r w:rsidRPr="00633002">
        <w:rPr>
          <w:rStyle w:val="Strong"/>
          <w:b w:val="0"/>
          <w:bCs w:val="0"/>
          <w:color w:val="FF0000"/>
        </w:rPr>
        <w:lastRenderedPageBreak/>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60" w:name="_GoBack"/>
      <w:bookmarkEnd w:id="60"/>
      <w:r>
        <w:rPr>
          <w:rFonts w:asciiTheme="majorBidi" w:eastAsiaTheme="minorHAnsi" w:hAnsiTheme="majorBidi" w:cstheme="minorBidi"/>
          <w:b/>
          <w:bCs/>
          <w:color w:val="000000" w:themeColor="text1"/>
          <w:sz w:val="28"/>
          <w:szCs w:val="28"/>
          <w:lang w:eastAsia="en-US"/>
        </w:rPr>
        <w:t xml:space="preserve">      </w:t>
      </w:r>
      <w:bookmarkStart w:id="61" w:name="_Toc23928754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61"/>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 xml:space="preserve">Dans les deux cas, la demande est transmise à l’espace </w:t>
      </w:r>
      <w:proofErr w:type="spellStart"/>
      <w:r>
        <w:t>SaaS</w:t>
      </w:r>
      <w:proofErr w:type="spellEnd"/>
      <w:r>
        <w:t>,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62" w:name="_Toc23928755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62"/>
    </w:p>
    <w:p w:rsidR="00633002" w:rsidRDefault="00633002" w:rsidP="00633002">
      <w:pPr>
        <w:pStyle w:val="isselectedend"/>
      </w:pPr>
      <w:r>
        <w:t xml:space="preserve">Une fois la </w:t>
      </w:r>
      <w:proofErr w:type="spellStart"/>
      <w:r>
        <w:t>marketplace</w:t>
      </w:r>
      <w:proofErr w:type="spellEnd"/>
      <w:r>
        <w:t xml:space="preserv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 xml:space="preserve">Figure 4.25 — Page d’accueil d’une </w:t>
      </w:r>
      <w:proofErr w:type="spellStart"/>
      <w:r w:rsidRPr="00715A11">
        <w:rPr>
          <w:color w:val="FF0000"/>
        </w:rPr>
        <w:t>marketplace</w:t>
      </w:r>
      <w:proofErr w:type="spellEnd"/>
      <w:r w:rsidRPr="00715A11">
        <w:rPr>
          <w:color w:val="FF0000"/>
        </w:rPr>
        <w:t xml:space="preserve"> bancaire</w:t>
      </w:r>
    </w:p>
    <w:p w:rsidR="00633002" w:rsidRDefault="00715A11" w:rsidP="00A32351">
      <w:pPr>
        <w:pStyle w:val="NormalWeb"/>
        <w:spacing w:line="360" w:lineRule="auto"/>
        <w:jc w:val="both"/>
      </w:pPr>
      <w:r>
        <w:t xml:space="preserve">La </w:t>
      </w:r>
      <w:proofErr w:type="spellStart"/>
      <w:r>
        <w:t>marketplace</w:t>
      </w:r>
      <w:proofErr w:type="spellEnd"/>
      <w:r>
        <w:t xml:space="preserv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store et peuvent être activés ou désactivés en fonction des services souscrits et des besoins de la </w:t>
      </w:r>
      <w:proofErr w:type="spellStart"/>
      <w:r>
        <w:t>marketplace</w:t>
      </w:r>
      <w:proofErr w:type="spellEnd"/>
      <w:r>
        <w:t>.</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63" w:name="_Toc23928755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63"/>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lastRenderedPageBreak/>
        <w:t xml:space="preserve">En conclusion, ce chapitre a permis de présenter la mise en œuvre de la plateforme à travers ses principaux parcours fonctionnels. Il a détaillé le cycle de vie d’une </w:t>
      </w:r>
      <w:proofErr w:type="spellStart"/>
      <w:r>
        <w:t>marketplace</w:t>
      </w:r>
      <w:proofErr w:type="spellEnd"/>
      <w:r>
        <w:t>,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33"/>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64" w:name="_Toc239287552"/>
      <w:r w:rsidRPr="00A32351">
        <w:rPr>
          <w:rFonts w:asciiTheme="majorBidi" w:hAnsiTheme="majorBidi"/>
          <w:b/>
          <w:bCs/>
          <w:color w:val="auto"/>
          <w:sz w:val="36"/>
          <w:szCs w:val="36"/>
        </w:rPr>
        <w:lastRenderedPageBreak/>
        <w:t>Chapitre 5 : Réalisation des parcours métier : concessionnaires, financement et assistant IA</w:t>
      </w:r>
      <w:bookmarkEnd w:id="64"/>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65" w:name="_Toc239287553"/>
      <w:r w:rsidRPr="00A32351">
        <w:rPr>
          <w:rFonts w:asciiTheme="majorBidi" w:hAnsiTheme="majorBidi"/>
          <w:b/>
          <w:bCs/>
          <w:color w:val="000000" w:themeColor="text1"/>
          <w:sz w:val="32"/>
          <w:szCs w:val="32"/>
        </w:rPr>
        <w:t>1. Introduction</w:t>
      </w:r>
      <w:bookmarkEnd w:id="65"/>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66" w:name="_Toc23928755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proofErr w:type="spellStart"/>
      <w:r w:rsidRPr="007A09AA">
        <w:rPr>
          <w:rStyle w:val="Strong"/>
          <w:rFonts w:asciiTheme="majorBidi" w:hAnsiTheme="majorBidi" w:cstheme="majorBidi"/>
          <w:b w:val="0"/>
          <w:bCs w:val="0"/>
          <w:sz w:val="24"/>
          <w:szCs w:val="24"/>
        </w:rPr>
        <w:t>chatbot</w:t>
      </w:r>
      <w:proofErr w:type="spellEnd"/>
      <w:r w:rsidRPr="007A09AA">
        <w:rPr>
          <w:rFonts w:asciiTheme="majorBidi" w:hAnsiTheme="majorBidi" w:cstheme="majorBidi"/>
          <w:sz w:val="24"/>
          <w:szCs w:val="24"/>
        </w:rPr>
        <w:t xml:space="preserve"> au sein de la plateforme.</w:t>
      </w:r>
      <w:bookmarkEnd w:id="66"/>
    </w:p>
    <w:p w:rsidR="00A32351" w:rsidRDefault="00A95B08" w:rsidP="00A32351">
      <w:pPr>
        <w:spacing w:after="240" w:line="360" w:lineRule="auto"/>
        <w:outlineLvl w:val="1"/>
        <w:rPr>
          <w:rFonts w:asciiTheme="majorBidi" w:hAnsiTheme="majorBidi"/>
          <w:b/>
          <w:bCs/>
          <w:color w:val="000000" w:themeColor="text1"/>
          <w:sz w:val="32"/>
          <w:szCs w:val="32"/>
        </w:rPr>
      </w:pPr>
      <w:bookmarkStart w:id="67" w:name="_Toc239287555"/>
      <w:r>
        <w:rPr>
          <w:rFonts w:asciiTheme="majorBidi" w:hAnsiTheme="majorBidi"/>
          <w:b/>
          <w:bCs/>
          <w:color w:val="000000" w:themeColor="text1"/>
          <w:sz w:val="32"/>
          <w:szCs w:val="32"/>
        </w:rPr>
        <w:t>2. Parcours Concessionnaires</w:t>
      </w:r>
      <w:r w:rsidRPr="00A95B08">
        <w:rPr>
          <w:rFonts w:asciiTheme="majorBidi" w:hAnsiTheme="majorBidi"/>
          <w:b/>
          <w:bCs/>
          <w:color w:val="000000" w:themeColor="text1"/>
          <w:sz w:val="32"/>
          <w:szCs w:val="32"/>
        </w:rPr>
      </w:r>
      <w:bookmarkEnd w:id="67"/>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w:t>
      </w:r>
      <w:proofErr w:type="spellStart"/>
      <w:r w:rsidRPr="00A95B08">
        <w:rPr>
          <w:rFonts w:asciiTheme="majorBidi" w:hAnsiTheme="majorBidi" w:cstheme="majorBidi"/>
          <w:sz w:val="24"/>
          <w:szCs w:val="24"/>
        </w:rPr>
        <w:t>Matchia</w:t>
      </w:r>
      <w:proofErr w:type="spellEnd"/>
      <w:r w:rsidRPr="00A95B08">
        <w:rPr>
          <w:rFonts w:asciiTheme="majorBidi" w:hAnsiTheme="majorBidi" w:cstheme="majorBidi"/>
          <w:sz w:val="24"/>
          <w:szCs w:val="24"/>
        </w:rPr>
        <w:t xml:space="preserve">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Inscription et validation du concessionnaire</w:t>
      </w:r>
      <w:bookmarkStart w:id="68" w:name="_Toc239287556"/>
      <w:r w:rsidRPr="00A95B08">
        <w:rPr>
          <w:rFonts w:asciiTheme="majorBidi" w:eastAsiaTheme="minorHAnsi" w:hAnsiTheme="majorBidi" w:cstheme="minorBidi"/>
          <w:b/>
          <w:bCs/>
          <w:color w:val="000000" w:themeColor="text1"/>
          <w:sz w:val="28"/>
          <w:szCs w:val="28"/>
          <w:lang w:eastAsia="en-US"/>
        </w:rPr>
      </w:r>
      <w:bookmarkEnd w:id="68"/>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w:t>
      </w:r>
      <w:proofErr w:type="spellStart"/>
      <w:r>
        <w:t>SaaS</w:t>
      </w:r>
      <w:proofErr w:type="spellEnd"/>
      <w:r>
        <w:t xml:space="preserve">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 xml:space="preserve">Capture 5.2 — Gestion des demandes concessionnaires par l’Administrateur </w:t>
      </w:r>
      <w:proofErr w:type="spellStart"/>
      <w:r w:rsidRPr="00E3529E">
        <w:rPr>
          <w:rStyle w:val="Strong"/>
          <w:b w:val="0"/>
          <w:bCs w:val="0"/>
          <w:color w:val="FF0000"/>
        </w:rPr>
        <w:t>SaaS</w:t>
      </w:r>
      <w:proofErr w:type="spellEnd"/>
    </w:p>
    <w:p w:rsidR="00E3529E" w:rsidRDefault="00E3529E" w:rsidP="00E3529E">
      <w:pPr>
        <w:pStyle w:val="NormalWeb"/>
      </w:pPr>
      <w:r>
        <w:rPr>
          <w:rStyle w:val="Emphasis"/>
        </w:rPr>
        <w:t xml:space="preserve">Cette capture illustre l’interface permettant au </w:t>
      </w:r>
      <w:proofErr w:type="spellStart"/>
      <w:r>
        <w:rPr>
          <w:rStyle w:val="Emphasis"/>
        </w:rPr>
        <w:t>SaaS</w:t>
      </w:r>
      <w:proofErr w:type="spellEnd"/>
      <w:r>
        <w:rPr>
          <w:rStyle w:val="Emphasis"/>
        </w:rPr>
        <w:t xml:space="preserve">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69" w:name="_Toc239287557"/>
      <w:r>
        <w:rPr>
          <w:rFonts w:asciiTheme="majorBidi" w:eastAsiaTheme="minorHAnsi" w:hAnsiTheme="majorBidi" w:cstheme="minorBidi"/>
          <w:b/>
          <w:bCs/>
          <w:color w:val="000000" w:themeColor="text1"/>
          <w:sz w:val="28"/>
          <w:szCs w:val="28"/>
          <w:lang w:eastAsia="en-US"/>
        </w:rPr>
        <w:t>2.2. Partenariats et contrats</w:t>
      </w:r>
      <w:r w:rsidRPr="00E3529E">
        <w:rPr>
          <w:rFonts w:asciiTheme="majorBidi" w:eastAsiaTheme="minorHAnsi" w:hAnsiTheme="majorBidi" w:cstheme="minorBidi"/>
          <w:b/>
          <w:bCs/>
          <w:color w:val="000000" w:themeColor="text1"/>
          <w:sz w:val="32"/>
          <w:szCs w:val="32"/>
          <w:lang w:eastAsia="en-US"/>
        </w:rPr>
      </w:r>
      <w:bookmarkEnd w:id="69"/>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w:t>
      </w:r>
      <w:proofErr w:type="spellStart"/>
      <w:r>
        <w:t>Matchia</w:t>
      </w:r>
      <w:proofErr w:type="spellEnd"/>
      <w:r>
        <w:t>,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La demande de partenariat peut être initiée dans les deux sens. Depuis son espace, le concessionnaire sélectionne la banque et le store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Dans les deux cas, la décision et, le cas échéant, son motif sont enregistrés afin d’assurer la traçabilité du traitement.</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0" w:name="_Toc239287558"/>
      <w:r w:rsidRPr="00200C95">
        <w:rPr>
          <w:rFonts w:asciiTheme="majorBidi" w:eastAsiaTheme="minorHAnsi" w:hAnsiTheme="majorBidi" w:cstheme="minorBidi"/>
          <w:b/>
          <w:bCs/>
          <w:color w:val="000000" w:themeColor="text1"/>
          <w:sz w:val="28"/>
          <w:szCs w:val="28"/>
          <w:lang w:eastAsia="en-US"/>
        </w:rPr>
        <w:t>2.3. Produits et publications multi-banque</w:t>
      </w:r>
      <w:bookmarkEnd w:id="70"/>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lastRenderedPageBreak/>
        <w:t>Le catalogue des produits est géré indépendamment de leur diffusion auprès des banques.</w:t>
      </w:r>
      <w:r w:rsidR="00273B6A" w:rsidRPr="00273B6A">
        <w:t xml:space="preserve"> </w:t>
      </w:r>
      <w:r w:rsidR="00273B6A">
        <w:t xml:space="preserve">Un même produit peut ainsi être proposé à plusieurs banques sans qu’il soit nécessaire de créer plusieurs copies du produit. Le concessionnaire conserve donc une référence centrale de son catalogue tandis que chaque publication est associée au partenariat et à la </w:t>
      </w:r>
      <w:proofErr w:type="spellStart"/>
      <w:r w:rsidR="00273B6A">
        <w:t>marketplace</w:t>
      </w:r>
      <w:proofErr w:type="spellEnd"/>
      <w:r w:rsidR="00273B6A">
        <w:t xml:space="preserve"> concernée.</w:t>
      </w:r>
    </w:p>
    <w:p w:rsidR="00273B6A" w:rsidRDefault="00273B6A" w:rsidP="00500A3A">
      <w:pPr>
        <w:pStyle w:val="NormalWeb"/>
        <w:spacing w:line="360" w:lineRule="auto"/>
        <w:jc w:val="both"/>
      </w:pPr>
      <w:r>
        <w:t xml:space="preserve">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w:t>
      </w:r>
      <w:proofErr w:type="spellStart"/>
      <w:r>
        <w:t>marketplace</w:t>
      </w:r>
      <w:proofErr w:type="spellEnd"/>
      <w:r>
        <w:t xml:space="preserv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valides,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1" w:name="_Toc239287559"/>
      <w:r w:rsidRPr="00500A3A">
        <w:rPr>
          <w:rFonts w:asciiTheme="majorBidi" w:eastAsiaTheme="minorHAnsi" w:hAnsiTheme="majorBidi" w:cstheme="minorBidi"/>
          <w:b/>
          <w:bCs/>
          <w:color w:val="000000" w:themeColor="text1"/>
          <w:sz w:val="28"/>
          <w:szCs w:val="28"/>
          <w:lang w:eastAsia="en-US"/>
        </w:rPr>
        <w:t>2.4. Suivi des demandes de financement</w:t>
      </w:r>
      <w:r w:rsidRPr="00500A3A">
        <w:rPr>
          <w:rFonts w:asciiTheme="majorBidi" w:eastAsiaTheme="minorHAnsi" w:hAnsiTheme="majorBidi" w:cstheme="minorBidi"/>
          <w:color w:val="000000" w:themeColor="text1"/>
          <w:sz w:val="28"/>
          <w:szCs w:val="28"/>
          <w:lang w:eastAsia="en-US"/>
        </w:rPr>
      </w:r>
      <w:r w:rsidRPr="00500A3A">
        <w:rPr>
          <w:rFonts w:asciiTheme="majorBidi" w:eastAsiaTheme="minorHAnsi" w:hAnsiTheme="majorBidi" w:cstheme="minorBidi"/>
          <w:b/>
          <w:bCs/>
          <w:color w:val="000000" w:themeColor="text1"/>
          <w:sz w:val="28"/>
          <w:szCs w:val="28"/>
          <w:lang w:eastAsia="en-US"/>
        </w:rPr>
      </w:r>
      <w:bookmarkEnd w:id="71"/>
    </w:p>
    <w:p w:rsidR="00265DE9" w:rsidRDefault="00265DE9" w:rsidP="00D96AEE">
      <w:pPr>
        <w:pStyle w:val="NormalWeb"/>
        <w:spacing w:line="360" w:lineRule="auto"/>
        <w:jc w:val="both"/>
      </w:pPr>
      <w:r>
        <w:t>Le concessionnaire dispose également d’une section dédiée au suivi des demandes de financement associées à ses produits. Cette fonctionnalité prolonge le principe de compte unique : les demandes provenant de différentes marketplaces partenaires peuvent être consultées depuis le même espace.</w:t>
      </w:r>
      <w:proofErr w:type="spellStart"/>
      <w:r/>
      <w:proofErr w:type="spellEnd"/>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2" w:name="_Toc239287560"/>
      <w:r w:rsidRPr="004016B3">
        <w:rPr>
          <w:rFonts w:asciiTheme="majorBidi" w:eastAsiaTheme="minorHAnsi" w:hAnsiTheme="majorBidi" w:cstheme="minorBidi"/>
          <w:b/>
          <w:bCs/>
          <w:color w:val="000000" w:themeColor="text1"/>
          <w:sz w:val="28"/>
          <w:szCs w:val="28"/>
          <w:lang w:eastAsia="en-US"/>
        </w:rPr>
        <w:t>3. Parcours client et demande de financement</w:t>
      </w:r>
      <w:r w:rsidRPr="004016B3">
        <w:rPr>
          <w:rFonts w:asciiTheme="majorBidi" w:eastAsiaTheme="minorHAnsi" w:hAnsiTheme="majorBidi" w:cstheme="minorBidi"/>
          <w:color w:val="000000" w:themeColor="text1"/>
          <w:sz w:val="28"/>
          <w:szCs w:val="28"/>
          <w:lang w:eastAsia="en-US"/>
        </w:rPr>
      </w:r>
      <w:r w:rsidRPr="004016B3">
        <w:rPr>
          <w:rFonts w:asciiTheme="majorBidi" w:eastAsiaTheme="minorHAnsi" w:hAnsiTheme="majorBidi" w:cstheme="minorBidi"/>
          <w:b/>
          <w:bCs/>
          <w:color w:val="000000" w:themeColor="text1"/>
          <w:sz w:val="28"/>
          <w:szCs w:val="28"/>
          <w:lang w:eastAsia="en-US"/>
        </w:rPr>
      </w:r>
      <w:bookmarkEnd w:id="72"/>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w:t>
      </w:r>
      <w:proofErr w:type="spellStart"/>
      <w:r>
        <w:t>marketplace</w:t>
      </w:r>
      <w:proofErr w:type="spellEnd"/>
      <w:r>
        <w:t xml:space="preserv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Consultation, comparaison et simulation</w:t>
      </w:r>
      <w:bookmarkStart w:id="73" w:name="_Toc239287561"/>
      <w:r w:rsidRPr="00D96AEE">
        <w:rPr>
          <w:rFonts w:asciiTheme="majorBidi" w:eastAsiaTheme="minorHAnsi" w:hAnsiTheme="majorBidi" w:cstheme="minorBidi"/>
          <w:b/>
          <w:bCs/>
          <w:color w:val="000000" w:themeColor="text1"/>
          <w:sz w:val="28"/>
          <w:szCs w:val="28"/>
          <w:lang w:eastAsia="en-US"/>
        </w:rPr>
      </w:r>
      <w:bookmarkEnd w:id="73"/>
    </w:p>
    <w:p w:rsidR="00860DD3" w:rsidRDefault="00860DD3" w:rsidP="00860DD3">
      <w:pPr>
        <w:pStyle w:val="NormalWeb"/>
        <w:spacing w:line="360" w:lineRule="auto"/>
        <w:jc w:val="both"/>
      </w:pPr>
      <w:r>
        <w:t xml:space="preserve">Depuis la </w:t>
      </w:r>
      <w:proofErr w:type="spellStart"/>
      <w:r>
        <w:t>marketplace</w:t>
      </w:r>
      <w:proofErr w:type="spellEnd"/>
      <w:r>
        <w:t xml:space="preserv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Inscription du client et activation du compte</w:t>
      </w:r>
      <w:bookmarkStart w:id="74" w:name="_Toc239287562"/>
      <w:r w:rsidRPr="00D96AEE">
        <w:rPr>
          <w:rFonts w:asciiTheme="majorBidi" w:eastAsiaTheme="minorHAnsi" w:hAnsiTheme="majorBidi" w:cstheme="minorBidi"/>
          <w:b/>
          <w:bCs/>
          <w:color w:val="000000" w:themeColor="text1"/>
          <w:sz w:val="28"/>
          <w:szCs w:val="28"/>
          <w:lang w:eastAsia="en-US"/>
        </w:rPr>
      </w:r>
      <w:r>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Pr="00D96AEE">
        <w:rPr>
          <w:rFonts w:asciiTheme="majorBidi" w:hAnsiTheme="majorBidi" w:cstheme="majorBidi"/>
          <w:b/>
          <w:bCs/>
          <w:sz w:val="28"/>
          <w:szCs w:val="28"/>
        </w:rPr>
      </w:r>
      <w:bookmarkEnd w:id="74"/>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w:t>
      </w:r>
      <w:proofErr w:type="spellStart"/>
      <w:r>
        <w:t>marketplace</w:t>
      </w:r>
      <w:proofErr w:type="spellEnd"/>
      <w:r>
        <w:t xml:space="preserv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Constitution et soumission du dossier</w:t>
      </w:r>
      <w:bookmarkStart w:id="75" w:name="_Toc239287563"/>
      <w:r w:rsidRPr="00D96AEE">
        <w:rPr>
          <w:rFonts w:asciiTheme="majorBidi" w:eastAsiaTheme="minorHAnsi" w:hAnsiTheme="majorBidi" w:cstheme="minorBidi"/>
          <w:b/>
          <w:bCs/>
          <w:color w:val="000000" w:themeColor="text1"/>
          <w:sz w:val="28"/>
          <w:szCs w:val="28"/>
          <w:lang w:eastAsia="en-US"/>
        </w:rPr>
      </w:r>
      <w:r w:rsidR="00860DD3">
        <w:rPr>
          <w:rFonts w:asciiTheme="majorBidi" w:eastAsiaTheme="minorHAnsi" w:hAnsiTheme="majorBidi" w:cstheme="minorBidi"/>
          <w:b/>
          <w:bCs/>
          <w:color w:val="000000" w:themeColor="text1"/>
          <w:sz w:val="28"/>
          <w:szCs w:val="28"/>
          <w:lang w:eastAsia="en-US"/>
        </w:rPr>
      </w:r>
      <w:r w:rsidRPr="00D96AEE">
        <w:rPr>
          <w:rFonts w:asciiTheme="majorBidi" w:eastAsiaTheme="minorHAnsi" w:hAnsiTheme="majorBidi" w:cstheme="minorBidi"/>
          <w:b/>
          <w:bCs/>
          <w:color w:val="000000" w:themeColor="text1"/>
          <w:sz w:val="28"/>
          <w:szCs w:val="28"/>
          <w:lang w:eastAsia="en-US"/>
        </w:rPr>
      </w:r>
      <w:r w:rsidR="00860DD3" w:rsidRPr="00860DD3">
        <w:rPr>
          <w:rFonts w:asciiTheme="majorBidi" w:eastAsiaTheme="minorHAnsi" w:hAnsiTheme="majorBidi" w:cstheme="minorBidi"/>
          <w:b/>
          <w:bCs/>
          <w:color w:val="000000" w:themeColor="text1"/>
          <w:sz w:val="28"/>
          <w:szCs w:val="28"/>
          <w:lang w:eastAsia="en-US"/>
        </w:rPr>
      </w:r>
      <w:bookmarkEnd w:id="75"/>
    </w:p>
    <w:p w:rsidR="00860DD3" w:rsidRDefault="00860DD3" w:rsidP="00860DD3">
      <w:pPr>
        <w:pStyle w:val="NormalWeb"/>
        <w:spacing w:line="360" w:lineRule="auto"/>
        <w:jc w:val="both"/>
      </w:pPr>
      <w:r>
        <w:t xml:space="preserve">Une fois authentifié, le client peut commencer sa demande depuis la fiche d’un produit ou à partir du résultat de sa simulation. Le dossier est créé initialement à l’état de brouillon, ce qui </w:t>
      </w:r>
      <w:r>
        <w:lastRenderedPageBreak/>
        <w:t>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Traitement de la demande par la banque</w:t>
      </w:r>
      <w:bookmarkStart w:id="76" w:name="_Toc239287564"/>
      <w:r w:rsidRPr="00860DD3">
        <w:rPr>
          <w:rFonts w:asciiTheme="majorBidi" w:eastAsiaTheme="minorHAnsi" w:hAnsiTheme="majorBidi" w:cstheme="minorBidi"/>
          <w:b/>
          <w:bCs/>
          <w:color w:val="000000" w:themeColor="text1"/>
          <w:sz w:val="28"/>
          <w:szCs w:val="28"/>
          <w:lang w:eastAsia="en-US"/>
        </w:rPr>
      </w:r>
      <w:bookmarkEnd w:id="76"/>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 xml:space="preserve">Capture 5.9 — </w:t>
      </w:r>
      <w:proofErr w:type="spellStart"/>
      <w:r w:rsidRPr="00860DD3">
        <w:rPr>
          <w:rStyle w:val="Strong"/>
          <w:b w:val="0"/>
          <w:bCs w:val="0"/>
          <w:color w:val="FF0000"/>
        </w:rPr>
        <w:t>Téléversement</w:t>
      </w:r>
      <w:proofErr w:type="spellEnd"/>
      <w:r w:rsidRPr="00860DD3">
        <w:rPr>
          <w:rStyle w:val="Strong"/>
          <w:b w:val="0"/>
          <w:bCs w:val="0"/>
          <w:color w:val="FF0000"/>
        </w:rPr>
        <w:t xml:space="preserve">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77" w:name="_Toc239287565"/>
      <w:r w:rsidRPr="00860DD3">
        <w:rPr>
          <w:rFonts w:asciiTheme="majorBidi" w:eastAsiaTheme="minorHAnsi" w:hAnsiTheme="majorBidi" w:cstheme="minorBidi"/>
          <w:b/>
          <w:bCs/>
          <w:color w:val="000000" w:themeColor="text1"/>
          <w:sz w:val="28"/>
          <w:szCs w:val="28"/>
          <w:lang w:eastAsia="en-US"/>
        </w:rPr>
        <w:t>4. Assistants conversationnels de la plateforme</w:t>
      </w:r>
      <w:r>
        <w:rPr>
          <w:rFonts w:asciiTheme="majorBidi" w:eastAsiaTheme="minorHAnsi" w:hAnsiTheme="majorBidi" w:cstheme="minorBidi"/>
          <w:b/>
          <w:bCs/>
          <w:color w:val="000000" w:themeColor="text1"/>
          <w:sz w:val="28"/>
          <w:szCs w:val="28"/>
          <w:lang w:eastAsia="en-US"/>
        </w:rPr>
      </w:r>
      <w:r w:rsidR="008631A9" w:rsidRPr="008631A9">
        <w:rPr>
          <w:rFonts w:asciiTheme="majorBidi" w:eastAsiaTheme="minorHAnsi" w:hAnsiTheme="majorBidi" w:cstheme="minorBidi"/>
          <w:b/>
          <w:bCs/>
          <w:color w:val="000000" w:themeColor="text1"/>
          <w:sz w:val="28"/>
          <w:szCs w:val="28"/>
          <w:lang w:eastAsia="en-US"/>
        </w:rPr>
      </w:r>
      <w:bookmarkEnd w:id="77"/>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w:t>
      </w:r>
      <w:proofErr w:type="spellStart"/>
      <w:r>
        <w:t>Matchia</w:t>
      </w:r>
      <w:proofErr w:type="spellEnd"/>
      <w:r>
        <w:t xml:space="preserve"> intègre deux solutions conversationnelles complémentaires répondant à des besoins distincts : un </w:t>
      </w:r>
      <w:r>
        <w:rPr>
          <w:rStyle w:val="Strong"/>
        </w:rPr>
        <w:t>assistant IA</w:t>
      </w:r>
      <w:r>
        <w:t xml:space="preserve"> destiné au pilotage du Back-office </w:t>
      </w:r>
      <w:proofErr w:type="spellStart"/>
      <w:r>
        <w:t>SaaS</w:t>
      </w:r>
      <w:proofErr w:type="spellEnd"/>
      <w:r>
        <w:t xml:space="preserve"> et un </w:t>
      </w:r>
      <w:proofErr w:type="spellStart"/>
      <w:r>
        <w:rPr>
          <w:rStyle w:val="Strong"/>
        </w:rPr>
        <w:t>chatbot</w:t>
      </w:r>
      <w:proofErr w:type="spellEnd"/>
      <w:r>
        <w:rPr>
          <w:rStyle w:val="Strong"/>
        </w:rPr>
        <w:t xml:space="preserve"> public</w:t>
      </w:r>
      <w:r>
        <w:t xml:space="preserve"> accessible aux visiteurs des </w:t>
      </w:r>
      <w:proofErr w:type="spellStart"/>
      <w:r>
        <w:t>marketplaces</w:t>
      </w:r>
      <w:proofErr w:type="spellEnd"/>
      <w:r>
        <w:t xml:space="preserve">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Assistant IA pour le pilotage du SaaS</w:t>
      </w:r>
      <w:bookmarkStart w:id="78" w:name="_Toc239287566"/>
      <w:r>
        <w:rPr>
          <w:rFonts w:asciiTheme="majorBidi" w:eastAsiaTheme="minorHAnsi" w:hAnsiTheme="majorBidi" w:cstheme="minorBidi"/>
          <w:b/>
          <w:bCs/>
          <w:color w:val="000000" w:themeColor="text1"/>
          <w:sz w:val="28"/>
          <w:szCs w:val="28"/>
          <w:lang w:eastAsia="en-US"/>
        </w:rPr>
      </w:r>
      <w:r w:rsidRPr="007F4381">
        <w:rPr>
          <w:rFonts w:asciiTheme="majorBidi" w:eastAsiaTheme="minorHAnsi" w:hAnsiTheme="majorBidi" w:cstheme="minorBidi"/>
          <w:b/>
          <w:bCs/>
          <w:color w:val="000000" w:themeColor="text1"/>
          <w:sz w:val="28"/>
          <w:szCs w:val="28"/>
          <w:lang w:eastAsia="en-US"/>
        </w:rPr>
      </w:r>
      <w:proofErr w:type="spellStart"/>
      <w:r w:rsidRPr="007F4381">
        <w:rPr>
          <w:rFonts w:asciiTheme="majorBidi" w:eastAsiaTheme="minorHAnsi" w:hAnsiTheme="majorBidi" w:cstheme="minorBidi"/>
          <w:b/>
          <w:bCs/>
          <w:color w:val="000000" w:themeColor="text1"/>
          <w:sz w:val="28"/>
          <w:szCs w:val="28"/>
          <w:lang w:eastAsia="en-US"/>
        </w:rPr>
      </w:r>
      <w:bookmarkEnd w:id="78"/>
      <w:proofErr w:type="spellEnd"/>
    </w:p>
    <w:p w:rsidR="007F4381" w:rsidRDefault="007F4381" w:rsidP="007F4381">
      <w:pPr>
        <w:pStyle w:val="isselectedend"/>
        <w:spacing w:line="360" w:lineRule="auto"/>
        <w:jc w:val="both"/>
      </w:pPr>
      <w:r>
        <w:t xml:space="preserve">L’assistant IA est intégré au Back-office </w:t>
      </w:r>
      <w:proofErr w:type="spellStart"/>
      <w:r>
        <w:t>SaaS</w:t>
      </w:r>
      <w:proofErr w:type="spellEnd"/>
      <w:r>
        <w:t xml:space="preserve"> et est destiné principalement à </w:t>
      </w:r>
      <w:r w:rsidRPr="007F4381">
        <w:t>l</w:t>
      </w:r>
      <w:r w:rsidRPr="007F4381">
        <w:rPr>
          <w:b/>
          <w:bCs/>
        </w:rPr>
        <w:t>’</w:t>
      </w:r>
      <w:r w:rsidRPr="007F4381">
        <w:rPr>
          <w:rStyle w:val="Strong"/>
          <w:b w:val="0"/>
          <w:bCs w:val="0"/>
        </w:rPr>
        <w:t xml:space="preserve">Administrateur </w:t>
      </w:r>
      <w:proofErr w:type="spellStart"/>
      <w:r w:rsidRPr="007F4381">
        <w:rPr>
          <w:rStyle w:val="Strong"/>
          <w:b w:val="0"/>
          <w:bCs w:val="0"/>
        </w:rPr>
        <w:t>SaaS</w:t>
      </w:r>
      <w:proofErr w:type="spellEnd"/>
      <w:r>
        <w:t xml:space="preserve">. Il facilite l’accès aux informations de pilotage en permettant à l’administrateur de formuler directement ses questions en langage naturel. Ces interrogations peuvent notamment </w:t>
      </w:r>
      <w:r>
        <w:lastRenderedPageBreak/>
        <w:t xml:space="preserve">concerner les banques, les </w:t>
      </w:r>
      <w:proofErr w:type="spellStart"/>
      <w:r>
        <w:t>marketplaces</w:t>
      </w:r>
      <w:proofErr w:type="spellEnd"/>
      <w:r>
        <w:t>,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4.2. Fonctionnement et sécurisation de l’assistant IA</w:t>
      </w:r>
      <w:bookmarkStart w:id="79" w:name="_Toc239287567"/>
      <w:r w:rsidRPr="00B440A6">
        <w:rPr>
          <w:rFonts w:asciiTheme="majorBidi" w:eastAsiaTheme="minorHAnsi" w:hAnsiTheme="majorBidi" w:cstheme="minorBidi"/>
          <w:b/>
          <w:bCs/>
          <w:color w:val="000000" w:themeColor="text1"/>
          <w:sz w:val="28"/>
          <w:szCs w:val="28"/>
          <w:lang w:eastAsia="en-US"/>
        </w:rPr>
      </w:r>
      <w:bookmarkEnd w:id="79"/>
    </w:p>
    <w:p w:rsidR="00A060B4" w:rsidRDefault="00A060B4" w:rsidP="00A060B4">
      <w:pPr>
        <w:pStyle w:val="isselectedend"/>
        <w:spacing w:line="360" w:lineRule="auto"/>
        <w:jc w:val="both"/>
      </w:pPr>
      <w:r>
        <w:t xml:space="preserve">Lorsqu’une question est envoyée par l’administrateur, le </w:t>
      </w:r>
      <w:proofErr w:type="spellStart"/>
      <w:r>
        <w:t>backend</w:t>
      </w:r>
      <w:proofErr w:type="spellEnd"/>
      <w:r>
        <w:t xml:space="preserve">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w:t>
      </w:r>
      <w:proofErr w:type="spellStart"/>
      <w:r>
        <w:t>tokens</w:t>
      </w:r>
      <w:proofErr w:type="spellEnd"/>
      <w:r>
        <w:t xml:space="preserve">,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 xml:space="preserve">Figure 5.6 — Diagramme de séquence de l’assistant IA </w:t>
      </w:r>
      <w:proofErr w:type="spellStart"/>
      <w:r w:rsidRPr="00F918FE">
        <w:rPr>
          <w:color w:val="FF0000"/>
        </w:rPr>
        <w:t>Text</w:t>
      </w:r>
      <w:proofErr w:type="spellEnd"/>
      <w:r w:rsidRPr="00F918FE">
        <w:rPr>
          <w:color w:val="FF0000"/>
        </w:rPr>
        <w: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4.3. Chatbot public des marketplaces</w:t>
      </w:r>
      <w:bookmarkStart w:id="80" w:name="_Toc239287568"/>
      <w:r>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proofErr w:type="spellEnd"/>
      <w:r w:rsidRPr="00F918FE">
        <w:rPr>
          <w:rFonts w:asciiTheme="majorBidi" w:eastAsiaTheme="minorHAnsi" w:hAnsiTheme="majorBidi" w:cstheme="minorBidi"/>
          <w:b/>
          <w:bCs/>
          <w:color w:val="000000" w:themeColor="text1"/>
          <w:sz w:val="28"/>
          <w:szCs w:val="28"/>
          <w:lang w:eastAsia="en-US"/>
        </w:rPr>
      </w:r>
      <w:proofErr w:type="spellStart"/>
      <w:r w:rsidRPr="00F918FE">
        <w:rPr>
          <w:rFonts w:asciiTheme="majorBidi" w:eastAsiaTheme="minorHAnsi" w:hAnsiTheme="majorBidi" w:cstheme="minorBidi"/>
          <w:b/>
          <w:bCs/>
          <w:color w:val="000000" w:themeColor="text1"/>
          <w:sz w:val="28"/>
          <w:szCs w:val="28"/>
          <w:lang w:eastAsia="en-US"/>
        </w:rPr>
      </w:r>
      <w:bookmarkEnd w:id="80"/>
      <w:proofErr w:type="spellEnd"/>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w:t>
      </w:r>
      <w:proofErr w:type="spellStart"/>
      <w:r>
        <w:t>chatbot</w:t>
      </w:r>
      <w:proofErr w:type="spellEnd"/>
      <w:r>
        <w:t xml:space="preserve"> public constitue le second composant conversationnel de la plateforme. Il est destiné aux visiteurs des </w:t>
      </w:r>
      <w:proofErr w:type="spellStart"/>
      <w:r>
        <w:t>marketplaces</w:t>
      </w:r>
      <w:proofErr w:type="spellEnd"/>
      <w:r>
        <w:t xml:space="preserve"> bancaires et apparaît uniquement lorsque le module </w:t>
      </w:r>
      <w:proofErr w:type="spellStart"/>
      <w:r w:rsidRPr="00070A8E">
        <w:rPr>
          <w:rStyle w:val="Strong"/>
          <w:b w:val="0"/>
          <w:bCs w:val="0"/>
        </w:rPr>
        <w:t>Chatbot</w:t>
      </w:r>
      <w:proofErr w:type="spellEnd"/>
      <w:r>
        <w:t xml:space="preserve"> est activé pour le store consulté. Son rôle principal consiste à accompagner le visiteur dans la </w:t>
      </w:r>
      <w:r>
        <w:lastRenderedPageBreak/>
        <w:t xml:space="preserve">découverte des produits et à faciliter son accès aux différentes fonctionnalités disponibles au sein de la </w:t>
      </w:r>
      <w:proofErr w:type="spellStart"/>
      <w:r>
        <w:t>marketplace</w:t>
      </w:r>
      <w:proofErr w:type="spellEnd"/>
      <w:r>
        <w:t>.</w:t>
      </w:r>
    </w:p>
    <w:p w:rsidR="00447271" w:rsidRDefault="00447271" w:rsidP="00070A8E">
      <w:pPr>
        <w:pStyle w:val="NormalWeb"/>
        <w:spacing w:line="360" w:lineRule="auto"/>
        <w:jc w:val="both"/>
      </w:pPr>
      <w:r>
        <w:t xml:space="preserve">Ce </w:t>
      </w:r>
      <w:proofErr w:type="spellStart"/>
      <w:r>
        <w:t>chatbot</w:t>
      </w:r>
      <w:proofErr w:type="spellEnd"/>
      <w:r>
        <w:t xml:space="preserve">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 xml:space="preserve">Lorsqu’un visiteur envoie un message, le système identifie tout d’abord la </w:t>
      </w:r>
      <w:proofErr w:type="spellStart"/>
      <w:r>
        <w:t>marketplace</w:t>
      </w:r>
      <w:proofErr w:type="spellEnd"/>
      <w:r>
        <w:t xml:space="preserve"> et le store dans lesquels la conversation est effectuée. Le </w:t>
      </w:r>
      <w:proofErr w:type="spellStart"/>
      <w:r>
        <w:t>chatbot</w:t>
      </w:r>
      <w:proofErr w:type="spellEnd"/>
      <w:r>
        <w:t xml:space="preserve">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 xml:space="preserve">L’accès aux données reste limité au périmètre public de la </w:t>
      </w:r>
      <w:proofErr w:type="spellStart"/>
      <w:r>
        <w:t>marketplace</w:t>
      </w:r>
      <w:proofErr w:type="spellEnd"/>
      <w:r>
        <w:t xml:space="preserve"> consultée. Le </w:t>
      </w:r>
      <w:proofErr w:type="spellStart"/>
      <w:r>
        <w:t>chatbot</w:t>
      </w:r>
      <w:proofErr w:type="spellEnd"/>
      <w:r>
        <w:t xml:space="preserve"> refuse donc toute demande non autorisée.</w:t>
      </w:r>
    </w:p>
    <w:p w:rsidR="00070A8E" w:rsidRDefault="00070A8E" w:rsidP="00070A8E">
      <w:pPr>
        <w:pStyle w:val="NormalWeb"/>
        <w:spacing w:line="360" w:lineRule="auto"/>
        <w:jc w:val="both"/>
        <w:rPr>
          <w:color w:val="FF0000"/>
        </w:rPr>
      </w:pPr>
      <w:r w:rsidRPr="00070A8E">
        <w:rPr>
          <w:color w:val="FF0000"/>
        </w:rPr>
        <w:t xml:space="preserve">Figure 5.7 — Fonctionnement du </w:t>
      </w:r>
      <w:proofErr w:type="spellStart"/>
      <w:r w:rsidRPr="00070A8E">
        <w:rPr>
          <w:color w:val="FF0000"/>
        </w:rPr>
        <w:t>chatbot</w:t>
      </w:r>
      <w:proofErr w:type="spellEnd"/>
      <w:r w:rsidRPr="00070A8E">
        <w:rPr>
          <w:color w:val="FF0000"/>
        </w:rPr>
        <w:t xml:space="preserve"> public dans une </w:t>
      </w:r>
      <w:proofErr w:type="spellStart"/>
      <w:r w:rsidRPr="00070A8E">
        <w:rPr>
          <w:color w:val="FF0000"/>
        </w:rPr>
        <w:t>marketplace</w:t>
      </w:r>
      <w:proofErr w:type="spellEnd"/>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81" w:name="_Toc239287569"/>
      <w:r w:rsidRPr="007A09AA">
        <w:rPr>
          <w:rFonts w:asciiTheme="majorBidi" w:eastAsiaTheme="minorHAnsi" w:hAnsiTheme="majorBidi" w:cstheme="minorBidi"/>
          <w:b/>
          <w:bCs/>
          <w:color w:val="000000" w:themeColor="text1"/>
          <w:sz w:val="28"/>
          <w:szCs w:val="28"/>
          <w:lang w:eastAsia="en-US"/>
        </w:rPr>
        <w:t>5. Conclusion</w:t>
      </w:r>
      <w:bookmarkEnd w:id="81"/>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proofErr w:type="spellStart"/>
      <w:r w:rsidRPr="007A09AA">
        <w:rPr>
          <w:rStyle w:val="Strong"/>
          <w:b w:val="0"/>
          <w:bCs w:val="0"/>
        </w:rPr>
        <w:t>chatbot</w:t>
      </w:r>
      <w:proofErr w:type="spellEnd"/>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34"/>
          <w:pgSz w:w="11906" w:h="16838"/>
          <w:pgMar w:top="1417" w:right="1417" w:bottom="1417" w:left="1417" w:header="454" w:footer="454" w:gutter="0"/>
          <w:cols w:space="708"/>
          <w:docGrid w:linePitch="360"/>
        </w:sectPr>
      </w:pPr>
    </w:p>
    <w:p>
      <w:pPr>
        <w:pStyle w:val="Heading1"/>
        <w:jc w:val="center"/>
        <w:rPr>
          <w:rFonts w:asciiTheme="majorBidi" w:hAnsiTheme="majorBidi"/>
          <w:b/>
          <w:bCs/>
          <w:color w:val="auto"/>
          <w:sz w:val="36"/>
          <w:szCs w:val="36"/>
        </w:rPr>
      </w:pPr>
      <w:r>
        <w:rPr>
          <w:rFonts w:asciiTheme="majorBidi" w:hAnsiTheme="majorBidi"/>
          <w:b/>
          <w:bCs/>
          <w:color w:val="auto"/>
          <w:sz w:val="36"/>
          <w:szCs w:val="36"/>
        </w:rPr>
        <w:t>Chapitre 6 : Mise en place du pipeline CI/CD et déploiement de Matchia sur Microsoft Azure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1. Introduction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chapitre présente la mise en place d’une chaîne permettant de construire, contrôler et déployer Matchia de manière automatisée. Il décrit les mécanismes retenus pour rendre la livraison de nouvelles versions plus fiable, reproductible et traçable, jusqu’à leur mise à disposition sur Microsoft Azure.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2. Démarche DevOps et pipeline CI/CD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2.1. DevOps appliqué à Matchia</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DevOps est une démarche qui rapproche le développement et l’exploitation afin de fluidifier la livraison d’une application. Son objectif est d’automatiser les opérations répétitives tout en intégrant des contrôles de qualité avant la mise en production. Pour Matchia, cette démarche relie la gestion du code, la construction des applications, les tests, l’analyse de qualité, la conteneurisation et le déploiement Cloud.</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2.2. Intégration et déploiement continus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L’intégration continue, ou CI, exécute automatiquement les contrôles techniques à chaque évolution du code. Le déploiement continu, ou CD, prend ensuite le relais pour publier une version validée et mettre à jour l’environnement Cloud.</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Code → Build → Tests → Analyse qualité</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Version validée → Image Docker → Registry → Cloud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avoir présenté les principes de la démarche DevOps et du CI/CD, nous détaillons dans la suite la mise en œuvre concrète du pipeline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3. Mise en place du pipeline CI/CD avec Jenkins</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3.1. Jenkins et définition du pipeline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est un serveur d’automatisation capable d’exécuter des tâches de construction, de contrôle et de déploiement. Dans Matchia, il orchestre l’ensemble du pipeline. Il est exécuté dans un conteneur Docker, ce qui facilite son installation et la reproductibilité de son environnement d’exécution.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extensions Jenkins mobilisées permettent notamment l’exécution de pipelines, l’intégration avec GitHub, l’utilisation de Node.js, l’analyse SonarQube et la gestion des credentials. Maven, Node.js, Docker et Azure CLI sont ainsi disponibles pour les étapes qui les nécessitent. Les secrets, tels que les accès au registre Docker Hub ou les jetons d’analyse, sont stockés dans les credentials Jenkins et ne sont pas inscrits dans le dépôt source.</w:t>
      </w:r>
    </w:p>
    <w:p>
      <w:pPr>
        <w:keepNext/>
        <w:jc w:val="center"/>
      </w:pPr>
      <w:r>
        <w:drawing>
          <wp:inline xmlns:a="http://schemas.openxmlformats.org/drawingml/2006/main" xmlns:pic="http://schemas.openxmlformats.org/drawingml/2006/picture">
            <wp:extent cx="5349240" cy="1646670"/>
            <wp:docPr id="61" name="Picture 61" descr="Figure 6.1 — Construction de l’image Docker utilisée pour exécuter Jenkins" title="Figure 6.1 — Construction de l’image Docker utilisée pour exécuter Jenkins"/>
            <wp:cNvGraphicFramePr>
              <a:graphicFrameLocks noChangeAspect="1"/>
            </wp:cNvGraphicFramePr>
            <a:graphic>
              <a:graphicData uri="http://schemas.openxmlformats.org/drawingml/2006/picture">
                <pic:pic>
                  <pic:nvPicPr>
                    <pic:cNvPr id="0" name="jenkins1.png"/>
                    <pic:cNvPicPr/>
                  </pic:nvPicPr>
                  <pic:blipFill>
                    <a:blip r:embed="rId68"/>
                    <a:stretch>
                      <a:fillRect/>
                    </a:stretch>
                  </pic:blipFill>
                  <pic:spPr>
                    <a:xfrm>
                      <a:off x="0" y="0"/>
                      <a:ext cx="5349240" cy="1646670"/>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 — Construction de l’image Docker utilisée pour exécuter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pipeline est défini dans le fichier Jenkinsfile placé à la racine du dépôt. Cette approche Pipeline as Code garantit que les étapes d’intégration et de déploiement évoluent avec le code applicatif.</w:t>
      </w:r>
    </w:p>
    <w:p>
      <w:pPr>
        <w:keepNext/>
        <w:jc w:val="center"/>
      </w:pPr>
      <w:r>
        <w:drawing>
          <wp:inline xmlns:a="http://schemas.openxmlformats.org/drawingml/2006/main" xmlns:pic="http://schemas.openxmlformats.org/drawingml/2006/picture">
            <wp:extent cx="5349240" cy="2784652"/>
            <wp:docPr id="62" name="Picture 62" descr="Figure 6.2 — Création d’un pipeline Jenkins pour le projet Matchia" title="Figure 6.2 — Création d’un pipeline Jenkins pour le projet Matchia"/>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349240" cy="278465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6.2 — Création d’un pipeline Jenkins pour le projet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3.2. Git, GitHub et étape Checkout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Git assure le suivi des modifications locales, tandis que GitHub centralise la version partagée du projet. À chaque évolution validée, le développeur transmet la version concernée au dépôt distant. Jenkins récupère ensuite le code lors du stage Checkout.</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Développeur → Git → GitHub → Jenkins Checkout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stage Checkout exécute la récupération du dépôt configuré dans Jenkins. Il fournit ainsi au pipeline le backend Spring Boot, le frontend React, les Dockerfiles, le fichier Docker Compose et le Jenkinsfile correspondant à la version à livrer.</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3.3. Docker et préparation locale des composants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Docker est utilisé une seule fois comme technologie de conteneurisation commune au backend, au frontend et au serveur Jenkins. Il permet d’isoler chaque composant avec ses dépendances et de produire une image exécutable de façon homogène entre l’environnement local et Azure.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Dockerfile du backend prépare l’API Spring Boot avec Java 17 et Maven. Il suit une construction en plusieurs étapes : Maven produit le fichier JAR, puis une image d’exécution conserve uniquement l’artefact nécessaire. Le backend expose ses services REST sur le port 8081.</w:t>
      </w:r>
    </w:p>
    <w:p>
      <w:pPr>
        <w:keepNext/>
        <w:jc w:val="center"/>
      </w:pPr>
      <w:r>
        <w:drawing>
          <wp:inline xmlns:a="http://schemas.openxmlformats.org/drawingml/2006/main" xmlns:pic="http://schemas.openxmlformats.org/drawingml/2006/picture">
            <wp:extent cx="4160520" cy="4130262"/>
            <wp:docPr id="63" name="Picture 63" descr="Figure 6.3 — Dockerfile du backend Spring Boot exposé sur le port 8081" title="Figure 6.3 — Dockerfile du backend Spring Boot exposé sur le port 808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160520" cy="413026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6.3 — Dockerfile du backend Spring Boot exposé sur le port 8081</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Dockerfile du frontend s’appuie sur Node.js pour installer les dépendances et produire les fichiers React avec Vite. Ces fichiers sont ensuite servis par Nginx sur le port 80. La variable VITE_API_URL est injectée au moment de la construction afin que le frontend déployé contacte l’URL publique du backend.</w:t>
      </w:r>
    </w:p>
    <w:p>
      <w:pPr>
        <w:keepNext/>
        <w:jc w:val="center"/>
      </w:pPr>
      <w:r>
        <w:drawing>
          <wp:inline xmlns:a="http://schemas.openxmlformats.org/drawingml/2006/main" xmlns:pic="http://schemas.openxmlformats.org/drawingml/2006/picture">
            <wp:extent cx="5349240" cy="3256484"/>
            <wp:docPr id="64" name="Picture 64" descr="Figure 6.4 — Dockerfile du frontend React Vite servi par Nginx" title="Figure 6.4 — Dockerfile du frontend React Vite servi par Nginx"/>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349240" cy="3256484"/>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6.4 — Dockerfile du frontend React Vite servi par Nginx</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l’intégration dans Jenkins, les deux composants ont été démarrés et vérifiés localement avec Docker Compose. Cette étape a permis de tester la communication frontend-backend, les variables d’environnement, les ports exposés et le volume destiné aux fichiers téléversés.</w:t>
      </w:r>
    </w:p>
    <w:p>
      <w:pPr>
        <w:keepNext/>
        <w:jc w:val="center"/>
      </w:pPr>
      <w:r>
        <w:drawing>
          <wp:inline xmlns:a="http://schemas.openxmlformats.org/drawingml/2006/main" xmlns:pic="http://schemas.openxmlformats.org/drawingml/2006/picture">
            <wp:extent cx="4160520" cy="4371306"/>
            <wp:docPr id="65" name="Picture 65" descr="Figure 6.5 — Configuration Docker Compose pour les tests locaux des composants Matchia" title="Figure 6.5 — Configuration Docker Compose pour les tests locaux des composants Matchia"/>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160520" cy="4371306"/>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6.5 — Configuration Docker Compose pour les tests locaux des composants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3.4. Construction et tests dans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pipeline entre ensuite dans ses stages de construction. Le stage Build Backend utilise Maven. Pour une vérification Maven complète, la commande suivante peut être exécutée :</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./mvnw clean verify</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Jenkinsfile de la configuration finale, la compilation et les tests sont volontairement séparés : Build Backend exécute ./mvnw clean package -DskipTests, puis le stage Tests Backend exécute ./mvnw test. Cette séparation identifie clairement l’étape responsable d’un éventuel échec.</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stage Build Frontend installe les dépendances de manière reproductible avec npm ci, puis exécute npm run build après avoir fourni VITE_API_URL.</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npm ci</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VITE_API_URL=$AZURE_BACKEND_URL npm run build</w:t>
      </w:r>
    </w:p>
    <w:p>
      <w:pPr>
        <w:keepNext/>
        <w:jc w:val="center"/>
      </w:pPr>
      <w:r>
        <w:drawing>
          <wp:inline xmlns:a="http://schemas.openxmlformats.org/drawingml/2006/main" xmlns:pic="http://schemas.openxmlformats.org/drawingml/2006/picture">
            <wp:extent cx="5349240" cy="3201653"/>
            <wp:docPr id="66" name="Picture 66" descr="Figure 6.6 — Exécution du stage Build Backend dans Jenkins" title="Figure 6.6 — Exécution du stage Build Backend dans Jenkins"/>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349240" cy="320165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6.6 — Exécution du stage Build Backend dans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logique de continuité du pipeline est la suivante :</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Build → Tests Backend → succès : pipeline continue / échec : pipeline arrêté</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tests backend constituent une barrière de qualité avant la création des images. L’exécution validée de la suite de tests affiche notamment : Tests run: 338, Failures: 0, Errors: 0, Skipped: 0.</w:t>
      </w:r>
    </w:p>
    <w:p>
      <w:pPr>
        <w:keepNext/>
        <w:jc w:val="center"/>
      </w:pPr>
      <w:r>
        <w:drawing>
          <wp:inline xmlns:a="http://schemas.openxmlformats.org/drawingml/2006/main" xmlns:pic="http://schemas.openxmlformats.org/drawingml/2006/picture">
            <wp:extent cx="5349240" cy="3178045"/>
            <wp:docPr id="67" name="Picture 67" descr="Figure 6.7 — Résultat de l’exécution des tests backend avant la livraison" title="Figure 6.7 — Résultat de l’exécution des tests backend avant la livraison"/>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349240" cy="317804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6.7 — Résultat de l’exécution des tests backend avant la livraison</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3.5. Analyse de qualité avec SonarQube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SonarQube est l’outil d’analyse statique utilisé dans le pipeline. Il complète les tests en contrôlant les défauts potentiels, les vulnérabilités, les duplications et les odeurs de code. Le stage SonarQube Backend exploite le rapport de couverture JaCoCo produit par Maven. La configuration finale comporte également un stage SonarQube Frontend exécuté avec le scanner dédié au projet React.</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Checkout → Build Backend → Build Frontend → Tests Backend → SonarQube Backend → SonarQube Frontend</w:t>
      </w:r>
    </w:p>
    <w:p>
      <w:pPr>
        <w:keepNext/>
        <w:jc w:val="center"/>
      </w:pPr>
      <w:r>
        <w:drawing>
          <wp:inline xmlns:a="http://schemas.openxmlformats.org/drawingml/2006/main" xmlns:pic="http://schemas.openxmlformats.org/drawingml/2006/picture">
            <wp:extent cx="5349240" cy="3105920"/>
            <wp:docPr id="68" name="Picture 68" descr="Figure 6.8 — Projets backend et frontend analysés dans SonarQube" title="Figure 6.8 — Projets backend et frontend analysés dans SonarQube"/>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349240" cy="3105920"/>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6.8 — Projets backend et frontend analysés dans SonarQube</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3.6. Construction des images et publication dans Docker Hub</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validation du code, Jenkins réutilise les Dockerfiles précédemment présentés afin de construire automatiquement les images du frontend et du backend. Cette étape ne redéfinit pas Docker : elle automatise la création des artefacts conteneurisés à partir de la version contrôlée du dépôt.</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SonarQube → Docker Build → image backend + image frontend</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image reçoit le tag latest ainsi qu’un tag correspondant au BUILD_NUMBER Jenkins. Le tag latest simplifie le déploiement de la dernière version validée ; le tag de build assure la traçabilité entre une exécution Jenkins et une image précise.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Docker Hub joue le rôle de registre distant. Jenkins s’y authentifie par credentials puis publie les images matchia-backend et matchia-frontend. Elles deviennent ainsi disponibles pour les Azure Container Apps.</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Jenkins → Docker Build → Docker Hub</w:t>
      </w:r>
    </w:p>
    <w:p>
      <w:pPr>
        <w:keepNext/>
        <w:jc w:val="center"/>
      </w:pPr>
      <w:r>
        <w:drawing>
          <wp:inline xmlns:a="http://schemas.openxmlformats.org/drawingml/2006/main" xmlns:pic="http://schemas.openxmlformats.org/drawingml/2006/picture">
            <wp:extent cx="5349240" cy="2988951"/>
            <wp:docPr id="69" name="Picture 69" descr="Figure 6.9 — Registre Docker Hub destiné aux images Matchia" title="Figure 6.9 — Registre Docker Hub destiné aux images Matchia"/>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349240" cy="2988951"/>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6.9 — Registre Docker Hub destiné aux images Matchia</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3.7. Environnement Azure cible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Microsoft Azure est retenu comme environnement cible afin d’héberger les composants conteneurisés, les données métier et les fichiers persistants. Cette séparation répond au caractère remplaçable des conteneurs : une nouvelle révision applicative ne doit ni supprimer les données PostgreSQL ni effacer les documents téléversés.</w:t>
      </w:r>
    </w:p>
    <w:p>
      <w:pPr>
        <w:keepNext/>
        <w:jc w:val="center"/>
      </w:pPr>
      <w:r>
        <w:drawing>
          <wp:inline xmlns:a="http://schemas.openxmlformats.org/drawingml/2006/main" xmlns:pic="http://schemas.openxmlformats.org/drawingml/2006/picture">
            <wp:extent cx="5349240" cy="4265462"/>
            <wp:docPr id="70" name="Picture 70" descr="Figure 6.10 — Ressources Azure configurées pour l’environnement de déploiement" title="Figure 6.10 — Ressources Azure configurées pour l’environnement de déploiement"/>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349240" cy="4265462"/>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6.10 — Ressources Azure configurées pour l’environnement de déploiement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migration de la base PostgreSQL depuis l’environnement local vers Azure suit le principe suivant :</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PostgreSQL local → pg_dump → pg_restore → PostgreSQL Azure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backend utilise ensuite une chaîne de connexion JDBC fournie par des variables d’environnement, sans inscrire les informations de connexion dans le code source.</w:t>
      </w:r>
    </w:p>
    <w:p>
      <w:pPr>
        <w:keepNext/>
        <w:jc w:val="center"/>
      </w:pPr>
      <w:r>
        <w:drawing>
          <wp:inline xmlns:a="http://schemas.openxmlformats.org/drawingml/2006/main" xmlns:pic="http://schemas.openxmlformats.org/drawingml/2006/picture">
            <wp:extent cx="5349240" cy="3381303"/>
            <wp:docPr id="71" name="Picture 71" descr="Figure 6.11 — Configuration du service PostgreSQL Azure utilisé par Matchia" title="Figure 6.11 — Configuration du service PostgreSQL Azure utilisé par Matchia"/>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349240" cy="338130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6.11 — Configuration du service PostgreSQL Azure utilisé par Matchia</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répertoire /app/uploads est associé à un partage Azure Files. Il permet de conserver les justificatifs, images et autres contenus téléversés même lorsqu’une nouvelle révision du backend est créée.</w:t>
      </w:r>
    </w:p>
    <w:p>
      <w:pPr>
        <w:keepNext/>
        <w:jc w:val="center"/>
      </w:pPr>
      <w:r>
        <w:drawing>
          <wp:inline xmlns:a="http://schemas.openxmlformats.org/drawingml/2006/main" xmlns:pic="http://schemas.openxmlformats.org/drawingml/2006/picture">
            <wp:extent cx="5349240" cy="3353538"/>
            <wp:docPr id="72" name="Picture 72" descr="Figure 6.12 — Stockage persistant Azure Files associé au répertoire /app/uploads" title="Figure 6.12 — Stockage persistant Azure Files associé au répertoire /app/uploads"/>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349240" cy="3353538"/>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6.12 — Stockage persistant Azure Files associé au répertoire /app/uploads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déploiement repose sur deux services distincts : matchia-frontend pour l’application React servie par Nginx et matchia-backend pour l’API Spring Boot. Le frontend contacte le backend, lequel accède à PostgreSQL Azure et au partage Azure Files.</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Frontend Container App → Backend Container App → PostgreSQL Azure + Azure Files</w:t>
      </w:r>
    </w:p>
    <w:p>
      <w:pPr>
        <w:keepNext/>
        <w:jc w:val="center"/>
      </w:pPr>
      <w:r>
        <w:drawing>
          <wp:inline xmlns:a="http://schemas.openxmlformats.org/drawingml/2006/main" xmlns:pic="http://schemas.openxmlformats.org/drawingml/2006/picture">
            <wp:extent cx="5349240" cy="3289937"/>
            <wp:docPr id="73" name="Picture 73" descr="Figure 6.13 — Configuration de l’Azure Container App du frontend" title="Figure 6.13 — Configuration de l’Azure Container App du frontend"/>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349240" cy="3289937"/>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6.13 — Configuration de l’Azure Container App du frontend</w:t>
      </w:r>
    </w:p>
    <w:p>
      <w:pPr>
        <w:keepNext/>
        <w:jc w:val="center"/>
      </w:pPr>
      <w:r>
        <w:drawing>
          <wp:inline xmlns:a="http://schemas.openxmlformats.org/drawingml/2006/main" xmlns:pic="http://schemas.openxmlformats.org/drawingml/2006/picture">
            <wp:extent cx="5349240" cy="3254325"/>
            <wp:docPr id="74" name="Picture 74" descr="Figure 6.14 — Configuration de l’Azure Container App du backend" title="Figure 6.14 — Configuration de l’Azure Container App du backend"/>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349240" cy="325432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6.14 — Configuration de l’Azure Container App du backend</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4. Automatisation du déploiement</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4.1. Rôle de Azure CLI</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Azure CLI est l’interface en ligne de commande de Microsoft Azure. Jenkins orchestre le pipeline, tandis qu’Azure CLI lui permet d’exécuter les commandes nécessaires au déploiement sur Microsoft Azure. Une authentification initiale peut être réalisée avec le mécanisme de code appareil, adapté aux contraintes de MFA :</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az login --use-device-code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cette préparation, le pipeline sélectionne l’abonnement configuré puis met à jour les deux Container Apps. La commande suivante illustre la mise à jour du backend ; le même principe est appliqué au frontend.</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az containerapp update --name matchia-backend --resource-group rg-matchia --image yassmine24/matchia-backend:latest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mise à jour crée une nouvelle révision Azure Container Apps, identifiée par le numéro de build. Cette révision permet de suivre la version effectivement déployée et d’isoler les mises à jour du frontend et du backend.</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5. Automatisation du déclenchement</w:t>
      </w:r>
    </w:p>
    <w:p>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5.1. GitHub Webhook et Cloudflare Tunnel</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déclenchement automatique repose sur le webhook GitHub : un git push notifie Jenkins, qui démarre le pipeline sans intervention manuelle.</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git push → GitHub → Webhook → Jenkins</w:t>
      </w:r>
    </w:p>
    <w:p>
      <w:pPr>
        <w:keepNext/>
        <w:jc w:val="center"/>
      </w:pPr>
      <w:r>
        <w:drawing>
          <wp:inline xmlns:a="http://schemas.openxmlformats.org/drawingml/2006/main" xmlns:pic="http://schemas.openxmlformats.org/drawingml/2006/picture">
            <wp:extent cx="5349240" cy="2991185"/>
            <wp:docPr id="75" name="Picture 75" descr="Figure 6.15 — Configuration du webhook GitHub déclenchant le pipeline Jenkins" title="Figure 6.15 — Configuration du webhook GitHub déclenchant le pipeline Jenkins"/>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349240" cy="2991185"/>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6.15 — Configuration du webhook GitHub déclenchant le pipeline Jenkins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la mise en place, Jenkins est exécuté localement et son adresse localhost n’est pas accessible directement depuis GitHub. Cloudflare Tunnel a donc exposé temporairement une adresse HTTPS publique redirigée vers Jenkins local.</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GitHub → Cloudflare Tunnel → Jenkins</w:t>
      </w:r>
    </w:p>
    <w:p>
      <w:pPr>
        <w:keepNext/>
        <w:jc w:val="center"/>
      </w:pPr>
      <w:r>
        <w:drawing>
          <wp:inline xmlns:a="http://schemas.openxmlformats.org/drawingml/2006/main" xmlns:pic="http://schemas.openxmlformats.org/drawingml/2006/picture">
            <wp:extent cx="5349240" cy="2563236"/>
            <wp:docPr id="76" name="Picture 76" descr="Figure 6.16 — Exposition temporaire de Jenkins local au moyen de Cloudflare Tunnel" title="Figure 6.16 — Exposition temporaire de Jenkins local au moyen de Cloudflare Tunnel"/>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49240" cy="2563236"/>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6.16 — Exposition temporaire de Jenkins local au moyen de Cloudflare Tunnel</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6. Architecture globale</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schéma suivant récapitule le fonctionnement complet, depuis le push du développeur jusqu’au déploiement des deux services conteneurisés. Il présente une vue unique des flux de déclenchement, de contrôle, de publication et de déploiement.</w:t>
      </w:r>
    </w:p>
    <w:p>
      <w:pPr>
        <w:keepNext/>
        <w:jc w:val="center"/>
      </w:pPr>
      <w:r>
        <w:drawing>
          <wp:inline xmlns:a="http://schemas.openxmlformats.org/drawingml/2006/main" xmlns:pic="http://schemas.openxmlformats.org/drawingml/2006/picture">
            <wp:extent cx="5349240" cy="3837498"/>
            <wp:docPr id="77" name="Picture 77" descr="Figure 6.17 — Architecture globale du pipeline CI/CD et du déploiement de Matchia" title="Figure 6.17 — Architecture globale du pipeline CI/CD et du déploiement de Matchia"/>
            <wp:cNvGraphicFramePr>
              <a:graphicFrameLocks noChangeAspect="1"/>
            </wp:cNvGraphicFramePr>
            <a:graphic>
              <a:graphicData uri="http://schemas.openxmlformats.org/drawingml/2006/picture">
                <pic:pic>
                  <pic:nvPicPr>
                    <pic:cNvPr id="0" name="fig_6_17_architecture_globale_finale.png"/>
                    <pic:cNvPicPr/>
                  </pic:nvPicPr>
                  <pic:blipFill>
                    <a:blip r:embed="rId69"/>
                    <a:stretch>
                      <a:fillRect/>
                    </a:stretch>
                  </pic:blipFill>
                  <pic:spPr>
                    <a:xfrm>
                      <a:off x="0" y="0"/>
                      <a:ext cx="5349240" cy="3837498"/>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6.17 — Architecture globale du pipeline CI/CD et du déploiement de Matchia</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7. Validation du processus complet</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validation de bout en bout consiste à transmettre une modification vers la branche suivie par Jenkins avec la commande suivante :</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git push origin main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chaîne attendue est alors : GitHub, webhook, Jenkins, build, tests, SonarQube, Docker, Docker Hub, Azure CLI puis Azure Container Apps. Une exécution réussie conduit à la publication des images et à la création des nouvelles révisions applicatives.</w:t>
      </w:r>
    </w:p>
    <w:p>
      <w:pPr>
        <w:spacing w:before="40" w:beforeAutospacing="1" w:after="40" w:afterAutospacing="1" w:line="360" w:lineRule="auto"/>
        <w:ind w:left="504"/>
        <w:jc w:val="both"/>
        <w:rPr>
          <w:rFonts w:ascii="Times New Roman" w:eastAsia="Times New Roman" w:hAnsi="Times New Roman" w:cs="Times New Roman"/>
          <w:sz w:val="24"/>
          <w:szCs w:val="24"/>
          <w:lang w:eastAsia="fr-FR"/>
        </w:rPr>
      </w:pPr>
      <w:r>
        <w:rPr>
          <w:rFonts w:ascii="Consolas" w:eastAsia="Times New Roman" w:hAnsi="Consolas" w:cs="Times New Roman"/>
          <w:sz w:val="18"/>
          <w:szCs w:val="24"/>
          <w:lang w:eastAsia="fr-FR"/>
        </w:rPr>
        <w:t>GitHub ✓ → Webhook ✓ → Jenkins ✓ → Build ✓ → Tests ✓ → SonarQube ✓ → Docker ✓ → Docker Hub ✓ → Azure CLI ✓ → Azure Container Apps ✓</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capture suivante illustre l’accessibilité du Back-office SaaS depuis l’URL de l’application déployée. Elle constitue une vérification fonctionnelle complémentaire après la mise à jour des services Cloud.</w:t>
      </w:r>
    </w:p>
    <w:p>
      <w:pPr>
        <w:keepNext/>
        <w:jc w:val="center"/>
      </w:pPr>
      <w:r>
        <w:drawing>
          <wp:inline xmlns:a="http://schemas.openxmlformats.org/drawingml/2006/main" xmlns:pic="http://schemas.openxmlformats.org/drawingml/2006/picture">
            <wp:extent cx="5349240" cy="3109893"/>
            <wp:docPr id="78" name="Picture 78" descr="Figure 6.18 — Accès au Back-office SaaS après le déploiement de la plateforme" title="Figure 6.18 — Accès au Back-office SaaS après le déploiement de la plateforme"/>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349240" cy="3109893"/>
                    </a:xfrm>
                    <a:prstGeom prst="rect"/>
                  </pic:spPr>
                </pic:pic>
              </a:graphicData>
            </a:graphic>
          </wp:inline>
        </w:drawing>
      </w:r>
    </w:p>
    <w:p>
      <w:pPr>
        <w:pStyle w:val="Caption"/>
        <w:spacing w:before="240"/>
        <w:jc w:val="center"/>
        <w:rPr>
          <w:rFonts w:asciiTheme="majorBidi" w:hAnsiTheme="majorBidi" w:cstheme="majorBidi"/>
          <w:b/>
          <w:bCs/>
          <w:sz w:val="22"/>
          <w:szCs w:val="22"/>
          <w:shd w:val="clear" w:color="auto" w:fill="FFFFFF"/>
        </w:rPr>
      </w:pPr>
      <w:r>
        <w:rPr>
          <w:b/>
          <w:bCs/>
          <w:sz w:val="22"/>
          <w:szCs w:val="22"/>
        </w:rPr>
        <w:t>Figure 6.18 — Accès au Back-office SaaS après le déploiement de la plateforme</w:t>
      </w:r>
    </w:p>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8. Difficultés rencontrées et solutions</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mise en place a nécessité plusieurs ajustements techniques. Le tableau suivant synthétise les difficultés réelles rencontrées et les solutions retenues afin de fiabiliser l’exécution automatisée.</w:t>
      </w:r>
    </w:p>
    <w:p>
      <w:pPr>
        <w:pStyle w:val="Caption"/>
        <w:spacing w:before="240"/>
        <w:jc w:val="center"/>
        <w:rPr>
          <w:rFonts w:asciiTheme="majorBidi" w:hAnsiTheme="majorBidi" w:cstheme="majorBidi"/>
          <w:b/>
          <w:bCs/>
          <w:sz w:val="22"/>
          <w:szCs w:val="22"/>
          <w:shd w:val="clear" w:color="auto" w:fill="FFFFFF"/>
        </w:rPr>
      </w:pPr>
      <w:r>
        <w:rPr>
          <w:b/>
          <w:bCs/>
          <w:sz w:val="22"/>
          <w:szCs w:val="22"/>
        </w:rPr>
        <w:t>Tableau 6.1 — Difficultés rencontrées lors de la mise en place du pipeline et solutions appliquées</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1944"/>
            <w:shd w:fill="D9D9D9"/>
            <w:vAlign w:val="center"/>
            <w:tcMar>
              <w:top w:w="105" w:type="dxa"/>
              <w:start w:w="105" w:type="dxa"/>
              <w:bottom w:w="105" w:type="dxa"/>
              <w:end w:w="105" w:type="dxa"/>
            </w:tcMar>
          </w:tcPr>
          <w:p>
            <w:pPr>
              <w:spacing w:after="0" w:line="252" w:lineRule="auto"/>
              <w:jc w:val="center"/>
            </w:pPr>
            <w:r>
              <w:rPr>
                <w:rFonts w:ascii="Arial" w:hAnsi="Arial"/>
                <w:b/>
                <w:sz w:val="17"/>
              </w:rPr>
              <w:t>Élément</w:t>
            </w:r>
          </w:p>
        </w:tc>
        <w:tc>
          <w:tcPr>
            <w:tcW w:type="dxa" w:w="3744"/>
            <w:shd w:fill="D9D9D9"/>
            <w:vAlign w:val="center"/>
            <w:tcMar>
              <w:top w:w="105" w:type="dxa"/>
              <w:start w:w="105" w:type="dxa"/>
              <w:bottom w:w="105" w:type="dxa"/>
              <w:end w:w="105" w:type="dxa"/>
            </w:tcMar>
          </w:tcPr>
          <w:p>
            <w:pPr>
              <w:spacing w:after="0" w:line="252" w:lineRule="auto"/>
              <w:jc w:val="center"/>
            </w:pPr>
            <w:r>
              <w:rPr>
                <w:rFonts w:ascii="Arial" w:hAnsi="Arial"/>
                <w:b/>
                <w:sz w:val="17"/>
              </w:rPr>
              <w:t>Difficulté rencontrée</w:t>
            </w:r>
          </w:p>
        </w:tc>
        <w:tc>
          <w:tcPr>
            <w:tcW w:type="dxa" w:w="3672"/>
            <w:shd w:fill="D9D9D9"/>
            <w:vAlign w:val="center"/>
            <w:tcMar>
              <w:top w:w="105" w:type="dxa"/>
              <w:start w:w="105" w:type="dxa"/>
              <w:bottom w:w="105" w:type="dxa"/>
              <w:end w:w="105" w:type="dxa"/>
            </w:tcMar>
          </w:tcPr>
          <w:p>
            <w:pPr>
              <w:spacing w:after="0" w:line="252" w:lineRule="auto"/>
              <w:jc w:val="center"/>
            </w:pPr>
            <w:r>
              <w:rPr>
                <w:rFonts w:ascii="Arial" w:hAnsi="Arial"/>
                <w:b/>
                <w:sz w:val="17"/>
              </w:rPr>
              <w:t>Solution appliquée</w:t>
            </w:r>
          </w:p>
        </w:tc>
      </w:tr>
      <w:tr>
        <w:tc>
          <w:tcPr>
            <w:tcW w:type="dxa" w:w="1944"/>
            <w:vAlign w:val="center"/>
            <w:tcMar>
              <w:top w:w="105" w:type="dxa"/>
              <w:start w:w="105" w:type="dxa"/>
              <w:bottom w:w="105" w:type="dxa"/>
              <w:end w:w="105" w:type="dxa"/>
            </w:tcMar>
          </w:tcPr>
          <w:p>
            <w:pPr>
              <w:spacing w:after="0" w:line="252" w:lineRule="auto"/>
            </w:pPr>
            <w:r>
              <w:rPr>
                <w:rFonts w:ascii="Arial" w:hAnsi="Arial"/>
                <w:b/>
                <w:sz w:val="17"/>
              </w:rPr>
              <w:t>Jenkinsfile</w:t>
            </w:r>
          </w:p>
        </w:tc>
        <w:tc>
          <w:tcPr>
            <w:tcW w:type="dxa" w:w="3744"/>
            <w:vAlign w:val="center"/>
            <w:tcMar>
              <w:top w:w="105" w:type="dxa"/>
              <w:start w:w="105" w:type="dxa"/>
              <w:bottom w:w="105" w:type="dxa"/>
              <w:end w:w="105" w:type="dxa"/>
            </w:tcMar>
          </w:tcPr>
          <w:p>
            <w:pPr>
              <w:spacing w:after="0" w:line="252" w:lineRule="auto"/>
            </w:pPr>
            <w:r>
              <w:rPr>
                <w:rFonts w:ascii="Arial" w:hAnsi="Arial"/>
                <w:b w:val="0"/>
                <w:sz w:val="17"/>
              </w:rPr>
              <w:t>Ordonnancement cohérent des étapes et partage sécurisé des variables.</w:t>
            </w:r>
          </w:p>
        </w:tc>
        <w:tc>
          <w:tcPr>
            <w:tcW w:type="dxa" w:w="3672"/>
            <w:vAlign w:val="center"/>
            <w:tcMar>
              <w:top w:w="105" w:type="dxa"/>
              <w:start w:w="105" w:type="dxa"/>
              <w:bottom w:w="105" w:type="dxa"/>
              <w:end w:w="105" w:type="dxa"/>
            </w:tcMar>
          </w:tcPr>
          <w:p>
            <w:pPr>
              <w:spacing w:after="0" w:line="252" w:lineRule="auto"/>
            </w:pPr>
            <w:r>
              <w:rPr>
                <w:rFonts w:ascii="Arial" w:hAnsi="Arial"/>
                <w:b w:val="0"/>
                <w:sz w:val="17"/>
              </w:rPr>
              <w:t>Pipeline déclaratif versionné ; utilisation de credentials Jenkins et de variables d’environnement.</w:t>
            </w:r>
          </w:p>
        </w:tc>
      </w:tr>
      <w:tr>
        <w:tc>
          <w:tcPr>
            <w:tcW w:type="dxa" w:w="1944"/>
            <w:vAlign w:val="center"/>
            <w:tcMar>
              <w:top w:w="105" w:type="dxa"/>
              <w:start w:w="105" w:type="dxa"/>
              <w:bottom w:w="105" w:type="dxa"/>
              <w:end w:w="105" w:type="dxa"/>
            </w:tcMar>
          </w:tcPr>
          <w:p>
            <w:pPr>
              <w:spacing w:after="0" w:line="252" w:lineRule="auto"/>
            </w:pPr>
            <w:r>
              <w:rPr>
                <w:rFonts w:ascii="Arial" w:hAnsi="Arial"/>
                <w:b/>
                <w:sz w:val="17"/>
              </w:rPr>
              <w:t>Tests backend</w:t>
            </w:r>
          </w:p>
        </w:tc>
        <w:tc>
          <w:tcPr>
            <w:tcW w:type="dxa" w:w="3744"/>
            <w:vAlign w:val="center"/>
            <w:tcMar>
              <w:top w:w="105" w:type="dxa"/>
              <w:start w:w="105" w:type="dxa"/>
              <w:bottom w:w="105" w:type="dxa"/>
              <w:end w:w="105" w:type="dxa"/>
            </w:tcMar>
          </w:tcPr>
          <w:p>
            <w:pPr>
              <w:spacing w:after="0" w:line="252" w:lineRule="auto"/>
            </w:pPr>
            <w:r>
              <w:rPr>
                <w:rFonts w:ascii="Arial" w:hAnsi="Arial"/>
                <w:b w:val="0"/>
                <w:sz w:val="17"/>
              </w:rPr>
              <w:t>Séparer la compilation des tests afin de localiser clairement un échec.</w:t>
            </w:r>
          </w:p>
        </w:tc>
        <w:tc>
          <w:tcPr>
            <w:tcW w:type="dxa" w:w="3672"/>
            <w:vAlign w:val="center"/>
            <w:tcMar>
              <w:top w:w="105" w:type="dxa"/>
              <w:start w:w="105" w:type="dxa"/>
              <w:bottom w:w="105" w:type="dxa"/>
              <w:end w:w="105" w:type="dxa"/>
            </w:tcMar>
          </w:tcPr>
          <w:p>
            <w:pPr>
              <w:spacing w:after="0" w:line="252" w:lineRule="auto"/>
            </w:pPr>
            <w:r>
              <w:rPr>
                <w:rFonts w:ascii="Arial" w:hAnsi="Arial"/>
                <w:b w:val="0"/>
                <w:sz w:val="17"/>
              </w:rPr>
              <w:t>Stage Tests Backend distinct ; arrêt du pipeline lorsque la commande Maven échoue.</w:t>
            </w:r>
          </w:p>
        </w:tc>
      </w:tr>
      <w:tr>
        <w:tc>
          <w:tcPr>
            <w:tcW w:type="dxa" w:w="1944"/>
            <w:vAlign w:val="center"/>
            <w:tcMar>
              <w:top w:w="105" w:type="dxa"/>
              <w:start w:w="105" w:type="dxa"/>
              <w:bottom w:w="105" w:type="dxa"/>
              <w:end w:w="105" w:type="dxa"/>
            </w:tcMar>
          </w:tcPr>
          <w:p>
            <w:pPr>
              <w:spacing w:after="0" w:line="252" w:lineRule="auto"/>
            </w:pPr>
            <w:r>
              <w:rPr>
                <w:rFonts w:ascii="Arial" w:hAnsi="Arial"/>
                <w:b/>
                <w:sz w:val="17"/>
              </w:rPr>
              <w:t>Build frontend</w:t>
            </w:r>
          </w:p>
        </w:tc>
        <w:tc>
          <w:tcPr>
            <w:tcW w:type="dxa" w:w="3744"/>
            <w:vAlign w:val="center"/>
            <w:tcMar>
              <w:top w:w="105" w:type="dxa"/>
              <w:start w:w="105" w:type="dxa"/>
              <w:bottom w:w="105" w:type="dxa"/>
              <w:end w:w="105" w:type="dxa"/>
            </w:tcMar>
          </w:tcPr>
          <w:p>
            <w:pPr>
              <w:spacing w:after="0" w:line="252" w:lineRule="auto"/>
            </w:pPr>
            <w:r>
              <w:rPr>
                <w:rFonts w:ascii="Arial" w:hAnsi="Arial"/>
                <w:b w:val="0"/>
                <w:sz w:val="17"/>
              </w:rPr>
              <w:t>Injection de l’URL publique de l’API dans le build Vite.</w:t>
            </w:r>
          </w:p>
        </w:tc>
        <w:tc>
          <w:tcPr>
            <w:tcW w:type="dxa" w:w="3672"/>
            <w:vAlign w:val="center"/>
            <w:tcMar>
              <w:top w:w="105" w:type="dxa"/>
              <w:start w:w="105" w:type="dxa"/>
              <w:bottom w:w="105" w:type="dxa"/>
              <w:end w:w="105" w:type="dxa"/>
            </w:tcMar>
          </w:tcPr>
          <w:p>
            <w:pPr>
              <w:spacing w:after="0" w:line="252" w:lineRule="auto"/>
            </w:pPr>
            <w:r>
              <w:rPr>
                <w:rFonts w:ascii="Arial" w:hAnsi="Arial"/>
                <w:b w:val="0"/>
                <w:sz w:val="17"/>
              </w:rPr>
              <w:t>Transmission de VITE_API_URL au build du frontend.</w:t>
            </w:r>
          </w:p>
        </w:tc>
      </w:tr>
      <w:tr>
        <w:tc>
          <w:tcPr>
            <w:tcW w:type="dxa" w:w="1944"/>
            <w:vAlign w:val="center"/>
            <w:tcMar>
              <w:top w:w="105" w:type="dxa"/>
              <w:start w:w="105" w:type="dxa"/>
              <w:bottom w:w="105" w:type="dxa"/>
              <w:end w:w="105" w:type="dxa"/>
            </w:tcMar>
          </w:tcPr>
          <w:p>
            <w:pPr>
              <w:spacing w:after="0" w:line="252" w:lineRule="auto"/>
            </w:pPr>
            <w:r>
              <w:rPr>
                <w:rFonts w:ascii="Arial" w:hAnsi="Arial"/>
                <w:b/>
                <w:sz w:val="17"/>
              </w:rPr>
              <w:t>SonarQube</w:t>
            </w:r>
          </w:p>
        </w:tc>
        <w:tc>
          <w:tcPr>
            <w:tcW w:type="dxa" w:w="3744"/>
            <w:vAlign w:val="center"/>
            <w:tcMar>
              <w:top w:w="105" w:type="dxa"/>
              <w:start w:w="105" w:type="dxa"/>
              <w:bottom w:w="105" w:type="dxa"/>
              <w:end w:w="105" w:type="dxa"/>
            </w:tcMar>
          </w:tcPr>
          <w:p>
            <w:pPr>
              <w:spacing w:after="0" w:line="252" w:lineRule="auto"/>
            </w:pPr>
            <w:r>
              <w:rPr>
                <w:rFonts w:ascii="Arial" w:hAnsi="Arial"/>
                <w:b w:val="0"/>
                <w:sz w:val="17"/>
              </w:rPr>
              <w:t>Exploiter la couverture Java et analyser aussi le frontend.</w:t>
            </w:r>
          </w:p>
        </w:tc>
        <w:tc>
          <w:tcPr>
            <w:tcW w:type="dxa" w:w="3672"/>
            <w:vAlign w:val="center"/>
            <w:tcMar>
              <w:top w:w="105" w:type="dxa"/>
              <w:start w:w="105" w:type="dxa"/>
              <w:bottom w:w="105" w:type="dxa"/>
              <w:end w:w="105" w:type="dxa"/>
            </w:tcMar>
          </w:tcPr>
          <w:p>
            <w:pPr>
              <w:spacing w:after="0" w:line="252" w:lineRule="auto"/>
            </w:pPr>
            <w:r>
              <w:rPr>
                <w:rFonts w:ascii="Arial" w:hAnsi="Arial"/>
                <w:b w:val="0"/>
                <w:sz w:val="17"/>
              </w:rPr>
              <w:t>Rapport JaCoCo pour le backend et scanner Sonar dédié au frontend.</w:t>
            </w:r>
          </w:p>
        </w:tc>
      </w:tr>
      <w:tr>
        <w:tc>
          <w:tcPr>
            <w:tcW w:type="dxa" w:w="1944"/>
            <w:vAlign w:val="center"/>
            <w:tcMar>
              <w:top w:w="105" w:type="dxa"/>
              <w:start w:w="105" w:type="dxa"/>
              <w:bottom w:w="105" w:type="dxa"/>
              <w:end w:w="105" w:type="dxa"/>
            </w:tcMar>
          </w:tcPr>
          <w:p>
            <w:pPr>
              <w:spacing w:after="0" w:line="252" w:lineRule="auto"/>
            </w:pPr>
            <w:r>
              <w:rPr>
                <w:rFonts w:ascii="Arial" w:hAnsi="Arial"/>
                <w:b/>
                <w:sz w:val="17"/>
              </w:rPr>
              <w:t>Webhook</w:t>
            </w:r>
          </w:p>
        </w:tc>
        <w:tc>
          <w:tcPr>
            <w:tcW w:type="dxa" w:w="3744"/>
            <w:vAlign w:val="center"/>
            <w:tcMar>
              <w:top w:w="105" w:type="dxa"/>
              <w:start w:w="105" w:type="dxa"/>
              <w:bottom w:w="105" w:type="dxa"/>
              <w:end w:w="105" w:type="dxa"/>
            </w:tcMar>
          </w:tcPr>
          <w:p>
            <w:pPr>
              <w:spacing w:after="0" w:line="252" w:lineRule="auto"/>
            </w:pPr>
            <w:r>
              <w:rPr>
                <w:rFonts w:ascii="Arial" w:hAnsi="Arial"/>
                <w:b w:val="0"/>
                <w:sz w:val="17"/>
              </w:rPr>
              <w:t>Jenkins local n’est pas joignable directement depuis GitHub.</w:t>
            </w:r>
          </w:p>
        </w:tc>
        <w:tc>
          <w:tcPr>
            <w:tcW w:type="dxa" w:w="3672"/>
            <w:vAlign w:val="center"/>
            <w:tcMar>
              <w:top w:w="105" w:type="dxa"/>
              <w:start w:w="105" w:type="dxa"/>
              <w:bottom w:w="105" w:type="dxa"/>
              <w:end w:w="105" w:type="dxa"/>
            </w:tcMar>
          </w:tcPr>
          <w:p>
            <w:pPr>
              <w:spacing w:after="0" w:line="252" w:lineRule="auto"/>
            </w:pPr>
            <w:r>
              <w:rPr>
                <w:rFonts w:ascii="Arial" w:hAnsi="Arial"/>
                <w:b w:val="0"/>
                <w:sz w:val="17"/>
              </w:rPr>
              <w:t>Configuration du webhook GitHub et exposition temporaire via Cloudflare Tunnel.</w:t>
            </w:r>
          </w:p>
        </w:tc>
      </w:tr>
      <w:tr>
        <w:tc>
          <w:tcPr>
            <w:tcW w:type="dxa" w:w="1944"/>
            <w:vAlign w:val="center"/>
            <w:tcMar>
              <w:top w:w="105" w:type="dxa"/>
              <w:start w:w="105" w:type="dxa"/>
              <w:bottom w:w="105" w:type="dxa"/>
              <w:end w:w="105" w:type="dxa"/>
            </w:tcMar>
          </w:tcPr>
          <w:p>
            <w:pPr>
              <w:spacing w:after="0" w:line="252" w:lineRule="auto"/>
            </w:pPr>
            <w:r>
              <w:rPr>
                <w:rFonts w:ascii="Arial" w:hAnsi="Arial"/>
                <w:b/>
                <w:sz w:val="17"/>
              </w:rPr>
              <w:t>Azure CLI et MFA</w:t>
            </w:r>
          </w:p>
        </w:tc>
        <w:tc>
          <w:tcPr>
            <w:tcW w:type="dxa" w:w="3744"/>
            <w:vAlign w:val="center"/>
            <w:tcMar>
              <w:top w:w="105" w:type="dxa"/>
              <w:start w:w="105" w:type="dxa"/>
              <w:bottom w:w="105" w:type="dxa"/>
              <w:end w:w="105" w:type="dxa"/>
            </w:tcMar>
          </w:tcPr>
          <w:p>
            <w:pPr>
              <w:spacing w:after="0" w:line="252" w:lineRule="auto"/>
            </w:pPr>
            <w:r>
              <w:rPr>
                <w:rFonts w:ascii="Arial" w:hAnsi="Arial"/>
                <w:b w:val="0"/>
                <w:sz w:val="17"/>
              </w:rPr>
              <w:t>Authentifier l’environnement de déploiement tout en respectant la protection du compte Azure.</w:t>
            </w:r>
          </w:p>
        </w:tc>
        <w:tc>
          <w:tcPr>
            <w:tcW w:type="dxa" w:w="3672"/>
            <w:vAlign w:val="center"/>
            <w:tcMar>
              <w:top w:w="105" w:type="dxa"/>
              <w:start w:w="105" w:type="dxa"/>
              <w:bottom w:w="105" w:type="dxa"/>
              <w:end w:w="105" w:type="dxa"/>
            </w:tcMar>
          </w:tcPr>
          <w:p>
            <w:pPr>
              <w:spacing w:after="0" w:line="252" w:lineRule="auto"/>
            </w:pPr>
            <w:r>
              <w:rPr>
                <w:rFonts w:ascii="Arial" w:hAnsi="Arial"/>
                <w:b w:val="0"/>
                <w:sz w:val="17"/>
              </w:rPr>
              <w:t>Connexion initiale par az login --use-device-code, puis sélection de l’abonnement par le pipeline.</w:t>
            </w:r>
          </w:p>
        </w:tc>
      </w:tr>
      <w:tr>
        <w:tc>
          <w:tcPr>
            <w:tcW w:type="dxa" w:w="1944"/>
            <w:vAlign w:val="center"/>
            <w:tcMar>
              <w:top w:w="105" w:type="dxa"/>
              <w:start w:w="105" w:type="dxa"/>
              <w:bottom w:w="105" w:type="dxa"/>
              <w:end w:w="105" w:type="dxa"/>
            </w:tcMar>
          </w:tcPr>
          <w:p>
            <w:pPr>
              <w:spacing w:after="0" w:line="252" w:lineRule="auto"/>
            </w:pPr>
            <w:r>
              <w:rPr>
                <w:rFonts w:ascii="Arial" w:hAnsi="Arial"/>
                <w:b/>
                <w:sz w:val="17"/>
              </w:rPr>
              <w:t>Azure Files</w:t>
            </w:r>
          </w:p>
        </w:tc>
        <w:tc>
          <w:tcPr>
            <w:tcW w:type="dxa" w:w="3744"/>
            <w:vAlign w:val="center"/>
            <w:tcMar>
              <w:top w:w="105" w:type="dxa"/>
              <w:start w:w="105" w:type="dxa"/>
              <w:bottom w:w="105" w:type="dxa"/>
              <w:end w:w="105" w:type="dxa"/>
            </w:tcMar>
          </w:tcPr>
          <w:p>
            <w:pPr>
              <w:spacing w:after="0" w:line="252" w:lineRule="auto"/>
            </w:pPr>
            <w:r>
              <w:rPr>
                <w:rFonts w:ascii="Arial" w:hAnsi="Arial"/>
                <w:b w:val="0"/>
                <w:sz w:val="17"/>
              </w:rPr>
              <w:t>Conserver les fichiers téléversés malgré le remplacement d’un conteneur.</w:t>
            </w:r>
          </w:p>
        </w:tc>
        <w:tc>
          <w:tcPr>
            <w:tcW w:type="dxa" w:w="3672"/>
            <w:vAlign w:val="center"/>
            <w:tcMar>
              <w:top w:w="105" w:type="dxa"/>
              <w:start w:w="105" w:type="dxa"/>
              <w:bottom w:w="105" w:type="dxa"/>
              <w:end w:w="105" w:type="dxa"/>
            </w:tcMar>
          </w:tcPr>
          <w:p>
            <w:pPr>
              <w:spacing w:after="0" w:line="252" w:lineRule="auto"/>
            </w:pPr>
            <w:r>
              <w:rPr>
                <w:rFonts w:ascii="Arial" w:hAnsi="Arial"/>
                <w:b w:val="0"/>
                <w:sz w:val="17"/>
              </w:rPr>
              <w:t>Montage d’un partage Azure Files dans le backend sur le répertoire /app/uploads.</w:t>
            </w:r>
          </w:p>
        </w:tc>
      </w:tr>
    </w:tbl>
    <w:p>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9. Conclusion</w:t>
      </w:r>
    </w:p>
    <w:p>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chapitre a présenté une chaîne CI/CD complète pour Matchia. Jenkins automatise la récupération du code, les constructions, les tests, les analyses SonarQube, la création et la publication des images Docker, puis le déploiement sur Azure via Azure CLI. La plateforme peut ainsi être livrée de manière plus cohérente, contrôlée et reproductible à partir d’un simple push Git.</w:t>
      </w:r>
    </w:p>
    <w:sectPr w:rsidR="00CF0DEB" w:rsidRPr="00CF0DEB" w:rsidSect="00310493">
      <w:headerReference w:type="default" r:id="rId35"/>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B5461B">
          <w:rPr>
            <w:noProof/>
          </w:rPr>
          <w:t>1</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F70163">
          <w:rPr>
            <w:noProof/>
          </w:rPr>
          <w:t>34</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 xml:space="preserve">Mise en œuvre du cycle de vie des </w:t>
    </w:r>
    <w:proofErr w:type="spellStart"/>
    <w:r w:rsidRPr="002C185C">
      <w:rPr>
        <w:b/>
        <w:bCs/>
        <w:color w:val="auto"/>
        <w:sz w:val="22"/>
        <w:szCs w:val="22"/>
      </w:rPr>
      <w:t>marketplaces</w:t>
    </w:r>
    <w:proofErr w:type="spellEnd"/>
    <w:r w:rsidRPr="002C185C">
      <w:rPr>
        <w:b/>
        <w:bCs/>
        <w:color w:val="auto"/>
        <w:sz w:val="22"/>
        <w:szCs w:val="22"/>
      </w:rPr>
      <w:t xml:space="preserve">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proofErr w:type="spellStart"/>
    <w:r w:rsidRPr="00736320">
      <w:rPr>
        <w:b/>
        <w:bCs/>
        <w:color w:val="auto"/>
        <w:sz w:val="22"/>
        <w:szCs w:val="22"/>
      </w:rPr>
      <w:t>DevOps</w:t>
    </w:r>
    <w:proofErr w:type="spellEnd"/>
    <w:r w:rsidRPr="00736320">
      <w:rPr>
        <w:b/>
        <w:bCs/>
        <w:color w:val="auto"/>
        <w:sz w:val="22"/>
        <w:szCs w:val="22"/>
      </w:rPr>
      <w:t>,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9.xml"/><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4F981A3C-45A8-44DD-98B9-8C5B910CD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52</Pages>
  <Words>12980</Words>
  <Characters>71396</Characters>
  <Application>Microsoft Office Word</Application>
  <DocSecurity>0</DocSecurity>
  <Lines>594</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Matchia avec cas d’utilisation détaillés par sprint</dc:title>
  <dc:subject/>
  <dc:creator>Microsoft account</dc:creator>
  <cp:keywords/>
  <dc:description/>
  <cp:lastModifiedBy>Microsoft account</cp:lastModifiedBy>
  <cp:revision>58</cp:revision>
  <dcterms:created xsi:type="dcterms:W3CDTF">2026-06-04T08:55:00Z</dcterms:created>
  <dcterms:modified xsi:type="dcterms:W3CDTF">2026-09-03T17:00:00Z</dcterms:modified>
</cp:coreProperties>
</file>