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Afin d’assurer une réalisation progressive et maîtrisée de la plateforme, le projet a été planifié selon l’approche Agile Scrum. Le Product Backlog regroupe l’ensemble des besoins fonctionnels identifiés et est priorisé selon leur valeur métier et leurs dépendances techniques. Chaque sprint, prévu sur une durée de deux semaines, permet de produire, tester et valider un incrément fonctionnel de la plateforme.</w:t>
      </w:r>
    </w:p>
    <w:p>
      <w:pPr>
        <w:pStyle w:val="gjcqjg1a"/>
        <w:spacing w:line="360" w:lineRule="auto"/>
        <w:jc w:val="both"/>
      </w:pPr>
      <w:r>
        <w:t>La planification retenue est organisée en deux releases correspondant aux deux grandes parties de réalisation du projet. La première release couvre le socle SaaS multi-tenant et le cycle de vie d’une marketplace bancaire. La seconde se concentre sur les parcours métier des concessionnaires et des clients, ainsi que sur les fonctionnalités conversationnelles.</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des marketplaces</w:t>
      </w:r>
    </w:p>
    <w:p>
      <w:pPr>
        <w:pStyle w:val="gjcqjg1a"/>
        <w:spacing w:line="360" w:lineRule="auto"/>
        <w:jc w:val="both"/>
      </w:pPr>
      <w:r>
        <w:t>Cette release vise à rendre opérationnel le parcours complet d’une banque, depuis sa demande de création de marketplace jusqu’à l’activation de son espace et de ses services après paiement.</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rPr/>
        <w:tc>
          <w:tcPr>
            <w:tcW w:type="dxa" w:w="1210"/>
            <w:vAlign w:val="center"/>
            <w:tcMar>
              <w:top w:w="80" w:type="dxa"/>
              <w:bottom w:w="80" w:type="dxa"/>
              <w:start w:w="120" w:type="dxa"/>
              <w:end w:w="120" w:type="dxa"/>
            </w:tcMar>
          </w:tcPr>
          <w:p>
            <w:pPr>
              <w:spacing w:after="40" w:before="0"/>
              <w:jc w:val="center"/>
            </w:pPr>
            <w:r/>
            <w:r>
              <w:rPr>
                <w:b/>
                <w:sz w:val="19"/>
              </w:rPr>
              <w:t>S1</w:t>
            </w:r>
          </w:p>
        </w:tc>
        <w:tc>
          <w:tcPr>
            <w:tcW w:type="dxa" w:w="2540"/>
            <w:vAlign w:val="center"/>
            <w:tcMar>
              <w:top w:w="80" w:type="dxa"/>
              <w:bottom w:w="80" w:type="dxa"/>
              <w:start w:w="120" w:type="dxa"/>
              <w:end w:w="120" w:type="dxa"/>
            </w:tcMar>
          </w:tcPr>
          <w:p>
            <w:pPr>
              <w:spacing w:after="40" w:before="0"/>
              <w:jc w:val="left"/>
            </w:pPr>
            <w:r/>
            <w:r>
              <w:rPr>
                <w:b/>
                <w:sz w:val="19"/>
              </w:rPr>
              <w:t>Socle SaaS</w:t>
            </w:r>
          </w:p>
        </w:tc>
        <w:tc>
          <w:tcPr>
            <w:tcW w:type="dxa" w:w="5322"/>
            <w:vAlign w:val="center"/>
            <w:tcMar>
              <w:top w:w="80" w:type="dxa"/>
              <w:bottom w:w="80" w:type="dxa"/>
              <w:start w:w="120" w:type="dxa"/>
              <w:end w:w="120" w:type="dxa"/>
            </w:tcMar>
          </w:tcPr>
          <w:p>
            <w:pPr>
              <w:spacing w:after="40" w:before="0"/>
              <w:jc w:val="left"/>
            </w:pPr>
            <w:r/>
            <w:r>
              <w:rPr>
                <w:b w:val="0"/>
                <w:sz w:val="19"/>
              </w:rPr>
              <w:t>Authentification, rôles, sessions et isolation multi-tenant.</w:t>
            </w:r>
          </w:p>
        </w:tc>
      </w:tr>
      <w:tr>
        <w:trPr/>
        <w:tc>
          <w:tcPr>
            <w:tcW w:type="dxa" w:w="1210"/>
            <w:vAlign w:val="center"/>
            <w:tcMar>
              <w:top w:w="80" w:type="dxa"/>
              <w:bottom w:w="80" w:type="dxa"/>
              <w:start w:w="120" w:type="dxa"/>
              <w:end w:w="120" w:type="dxa"/>
            </w:tcMar>
          </w:tcPr>
          <w:p>
            <w:pPr>
              <w:spacing w:after="40" w:before="0"/>
              <w:jc w:val="center"/>
            </w:pPr>
            <w:r/>
            <w:r>
              <w:rPr>
                <w:b/>
                <w:sz w:val="19"/>
              </w:rPr>
              <w:t>S2</w:t>
            </w:r>
          </w:p>
        </w:tc>
        <w:tc>
          <w:tcPr>
            <w:tcW w:type="dxa" w:w="2540"/>
            <w:vAlign w:val="center"/>
            <w:tcMar>
              <w:top w:w="80" w:type="dxa"/>
              <w:bottom w:w="80" w:type="dxa"/>
              <w:start w:w="120" w:type="dxa"/>
              <w:end w:w="120" w:type="dxa"/>
            </w:tcMar>
          </w:tcPr>
          <w:p>
            <w:pPr>
              <w:spacing w:after="40" w:before="0"/>
              <w:jc w:val="left"/>
            </w:pPr>
            <w:r/>
            <w:r>
              <w:rPr>
                <w:b/>
                <w:sz w:val="19"/>
              </w:rPr>
              <w:t>Onboarding bancaire</w:t>
            </w:r>
          </w:p>
        </w:tc>
        <w:tc>
          <w:tcPr>
            <w:tcW w:type="dxa" w:w="5322"/>
            <w:vAlign w:val="center"/>
            <w:tcMar>
              <w:top w:w="80" w:type="dxa"/>
              <w:bottom w:w="80" w:type="dxa"/>
              <w:start w:w="120" w:type="dxa"/>
              <w:end w:w="120" w:type="dxa"/>
            </w:tcMar>
          </w:tcPr>
          <w:p>
            <w:pPr>
              <w:spacing w:after="40" w:before="0"/>
              <w:jc w:val="left"/>
            </w:pPr>
            <w:r/>
            <w:r>
              <w:rPr>
                <w:b w:val="0"/>
                <w:sz w:val="19"/>
              </w:rPr>
              <w:t>Demande, vérification e-mail, configuration, stores et modules.</w:t>
            </w:r>
          </w:p>
        </w:tc>
      </w:tr>
      <w:tr>
        <w:trPr/>
        <w:tc>
          <w:tcPr>
            <w:tcW w:type="dxa" w:w="1210"/>
            <w:vAlign w:val="center"/>
            <w:tcMar>
              <w:top w:w="80" w:type="dxa"/>
              <w:bottom w:w="80" w:type="dxa"/>
              <w:start w:w="120" w:type="dxa"/>
              <w:end w:w="120" w:type="dxa"/>
            </w:tcMar>
          </w:tcPr>
          <w:p>
            <w:pPr>
              <w:spacing w:after="40" w:before="0"/>
              <w:jc w:val="center"/>
            </w:pPr>
            <w:r/>
            <w:r>
              <w:rPr>
                <w:b/>
                <w:sz w:val="19"/>
              </w:rPr>
              <w:t>S3</w:t>
            </w:r>
          </w:p>
        </w:tc>
        <w:tc>
          <w:tcPr>
            <w:tcW w:type="dxa" w:w="2540"/>
            <w:vAlign w:val="center"/>
            <w:tcMar>
              <w:top w:w="80" w:type="dxa"/>
              <w:bottom w:w="80" w:type="dxa"/>
              <w:start w:w="120" w:type="dxa"/>
              <w:end w:w="120" w:type="dxa"/>
            </w:tcMar>
          </w:tcPr>
          <w:p>
            <w:pPr>
              <w:spacing w:after="40" w:before="0"/>
              <w:jc w:val="left"/>
            </w:pPr>
            <w:r/>
            <w:r>
              <w:rPr>
                <w:b/>
                <w:sz w:val="19"/>
              </w:rPr>
              <w:t>Administration SaaS</w:t>
            </w:r>
          </w:p>
        </w:tc>
        <w:tc>
          <w:tcPr>
            <w:tcW w:type="dxa" w:w="5322"/>
            <w:vAlign w:val="center"/>
            <w:tcMar>
              <w:top w:w="80" w:type="dxa"/>
              <w:bottom w:w="80" w:type="dxa"/>
              <w:start w:w="120" w:type="dxa"/>
              <w:end w:w="120" w:type="dxa"/>
            </w:tcMar>
          </w:tcPr>
          <w:p>
            <w:pPr>
              <w:spacing w:after="40" w:before="0"/>
              <w:jc w:val="left"/>
            </w:pPr>
            <w:r/>
            <w:r>
              <w:rPr>
                <w:b w:val="0"/>
                <w:sz w:val="19"/>
              </w:rPr>
              <w:t>Tableau de bord, demandes, banques, catalogues, utilisateurs et audit.</w:t>
            </w:r>
          </w:p>
        </w:tc>
      </w:tr>
      <w:tr>
        <w:trPr/>
        <w:tc>
          <w:tcPr>
            <w:tcW w:type="dxa" w:w="1210"/>
            <w:vAlign w:val="center"/>
            <w:tcMar>
              <w:top w:w="80" w:type="dxa"/>
              <w:bottom w:w="80" w:type="dxa"/>
              <w:start w:w="120" w:type="dxa"/>
              <w:end w:w="120" w:type="dxa"/>
            </w:tcMar>
          </w:tcPr>
          <w:p>
            <w:pPr>
              <w:spacing w:after="40" w:before="0"/>
              <w:jc w:val="center"/>
            </w:pPr>
            <w:r/>
            <w:r>
              <w:rPr>
                <w:b/>
                <w:sz w:val="19"/>
              </w:rPr>
              <w:t>S4</w:t>
            </w:r>
          </w:p>
        </w:tc>
        <w:tc>
          <w:tcPr>
            <w:tcW w:type="dxa" w:w="2540"/>
            <w:vAlign w:val="center"/>
            <w:tcMar>
              <w:top w:w="80" w:type="dxa"/>
              <w:bottom w:w="80" w:type="dxa"/>
              <w:start w:w="120" w:type="dxa"/>
              <w:end w:w="120" w:type="dxa"/>
            </w:tcMar>
          </w:tcPr>
          <w:p>
            <w:pPr>
              <w:spacing w:after="40" w:before="0"/>
              <w:jc w:val="left"/>
            </w:pPr>
            <w:r/>
            <w:r>
              <w:rPr>
                <w:b/>
                <w:sz w:val="19"/>
              </w:rPr>
              <w:t>Abonnement et paiement</w:t>
            </w:r>
          </w:p>
        </w:tc>
        <w:tc>
          <w:tcPr>
            <w:tcW w:type="dxa" w:w="5322"/>
            <w:vAlign w:val="center"/>
            <w:tcMar>
              <w:top w:w="80" w:type="dxa"/>
              <w:bottom w:w="80" w:type="dxa"/>
              <w:start w:w="120" w:type="dxa"/>
              <w:end w:w="120" w:type="dxa"/>
            </w:tcMar>
          </w:tcPr>
          <w:p>
            <w:pPr>
              <w:spacing w:after="40" w:before="0"/>
              <w:jc w:val="left"/>
            </w:pPr>
            <w:r/>
            <w:r>
              <w:rPr>
                <w:b w:val="0"/>
                <w:sz w:val="19"/>
              </w:rPr>
              <w:t>Approbation ou rejet, e-mails, Stripe et activation conditionnelle.</w:t>
            </w:r>
          </w:p>
        </w:tc>
      </w:tr>
      <w:tr>
        <w:trPr/>
        <w:tc>
          <w:tcPr>
            <w:tcW w:type="dxa" w:w="1210"/>
            <w:vAlign w:val="center"/>
            <w:tcMar>
              <w:top w:w="80" w:type="dxa"/>
              <w:bottom w:w="80" w:type="dxa"/>
              <w:start w:w="120" w:type="dxa"/>
              <w:end w:w="120" w:type="dxa"/>
            </w:tcMar>
          </w:tcPr>
          <w:p>
            <w:pPr>
              <w:spacing w:after="40" w:before="0"/>
              <w:jc w:val="center"/>
            </w:pPr>
            <w:r/>
            <w:r>
              <w:rPr>
                <w:b/>
                <w:sz w:val="19"/>
              </w:rPr>
              <w:t>S5</w:t>
            </w:r>
          </w:p>
        </w:tc>
        <w:tc>
          <w:tcPr>
            <w:tcW w:type="dxa" w:w="2540"/>
            <w:vAlign w:val="center"/>
            <w:tcMar>
              <w:top w:w="80" w:type="dxa"/>
              <w:bottom w:w="80" w:type="dxa"/>
              <w:start w:w="120" w:type="dxa"/>
              <w:end w:w="120" w:type="dxa"/>
            </w:tcMar>
          </w:tcPr>
          <w:p>
            <w:pPr>
              <w:spacing w:after="40" w:before="0"/>
              <w:jc w:val="left"/>
            </w:pPr>
            <w:r/>
            <w:r>
              <w:rPr>
                <w:b/>
                <w:sz w:val="19"/>
              </w:rPr>
              <w:t>Espaces Banque et public</w:t>
            </w:r>
          </w:p>
        </w:tc>
        <w:tc>
          <w:tcPr>
            <w:tcW w:type="dxa" w:w="5322"/>
            <w:vAlign w:val="center"/>
            <w:tcMar>
              <w:top w:w="80" w:type="dxa"/>
              <w:bottom w:w="80" w:type="dxa"/>
              <w:start w:w="120" w:type="dxa"/>
              <w:end w:w="120" w:type="dxa"/>
            </w:tcMar>
          </w:tcPr>
          <w:p>
            <w:pPr>
              <w:spacing w:after="40" w:before="0"/>
              <w:jc w:val="left"/>
            </w:pPr>
            <w:r/>
            <w:r>
              <w:rPr>
                <w:b w:val="0"/>
                <w:sz w:val="19"/>
              </w:rPr>
              <w:t>Personnalisation, contenus, services souscrits, produits, comparateur et simulateur.</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métier des concessionnaires et des clients</w:t>
      </w:r>
    </w:p>
    <w:p>
      <w:pPr>
        <w:pStyle w:val="gjcqjg1a"/>
        <w:spacing w:line="360" w:lineRule="auto"/>
        <w:jc w:val="both"/>
      </w:pPr>
      <w:r>
        <w:t>Cette release couvre les fonctionnalités permettant aux concessionnaires de gérer leur activité multi-banque et aux clients de consulter les offres puis de déposer une demande de financement.</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rPr/>
        <w:tc>
          <w:tcPr>
            <w:tcW w:type="dxa" w:w="1210"/>
            <w:vAlign w:val="center"/>
            <w:tcMar>
              <w:top w:w="80" w:type="dxa"/>
              <w:bottom w:w="80" w:type="dxa"/>
              <w:start w:w="120" w:type="dxa"/>
              <w:end w:w="120" w:type="dxa"/>
            </w:tcMar>
          </w:tcPr>
          <w:p>
            <w:pPr>
              <w:spacing w:after="40" w:before="0"/>
              <w:jc w:val="center"/>
            </w:pPr>
            <w:r/>
            <w:r>
              <w:rPr>
                <w:b/>
                <w:sz w:val="19"/>
              </w:rPr>
              <w:t>S6</w:t>
            </w:r>
          </w:p>
        </w:tc>
        <w:tc>
          <w:tcPr>
            <w:tcW w:type="dxa" w:w="2540"/>
            <w:vAlign w:val="center"/>
            <w:tcMar>
              <w:top w:w="80" w:type="dxa"/>
              <w:bottom w:w="80" w:type="dxa"/>
              <w:start w:w="120" w:type="dxa"/>
              <w:end w:w="120" w:type="dxa"/>
            </w:tcMar>
          </w:tcPr>
          <w:p>
            <w:pPr>
              <w:spacing w:after="40" w:before="0"/>
              <w:jc w:val="left"/>
            </w:pPr>
            <w:r/>
            <w:r>
              <w:rPr>
                <w:b/>
                <w:sz w:val="19"/>
              </w:rPr>
              <w:t>Onboarding concessionnaire</w:t>
            </w:r>
          </w:p>
        </w:tc>
        <w:tc>
          <w:tcPr>
            <w:tcW w:type="dxa" w:w="5322"/>
            <w:vAlign w:val="center"/>
            <w:tcMar>
              <w:top w:w="80" w:type="dxa"/>
              <w:bottom w:w="80" w:type="dxa"/>
              <w:start w:w="120" w:type="dxa"/>
              <w:end w:w="120" w:type="dxa"/>
            </w:tcMar>
          </w:tcPr>
          <w:p>
            <w:pPr>
              <w:spacing w:after="40" w:before="0"/>
              <w:jc w:val="left"/>
            </w:pPr>
            <w:r/>
            <w:r>
              <w:rPr>
                <w:b w:val="0"/>
                <w:sz w:val="19"/>
              </w:rPr>
              <w:t>Inscription, documents, validation SaaS, compte et e-mail d’accès.</w:t>
            </w:r>
          </w:p>
        </w:tc>
      </w:tr>
      <w:tr>
        <w:trPr/>
        <w:tc>
          <w:tcPr>
            <w:tcW w:type="dxa" w:w="1210"/>
            <w:vAlign w:val="center"/>
            <w:tcMar>
              <w:top w:w="80" w:type="dxa"/>
              <w:bottom w:w="80" w:type="dxa"/>
              <w:start w:w="120" w:type="dxa"/>
              <w:end w:w="120" w:type="dxa"/>
            </w:tcMar>
          </w:tcPr>
          <w:p>
            <w:pPr>
              <w:spacing w:after="40" w:before="0"/>
              <w:jc w:val="center"/>
            </w:pPr>
            <w:r/>
            <w:r>
              <w:rPr>
                <w:b/>
                <w:sz w:val="19"/>
              </w:rPr>
              <w:t>S7</w:t>
            </w:r>
          </w:p>
        </w:tc>
        <w:tc>
          <w:tcPr>
            <w:tcW w:type="dxa" w:w="2540"/>
            <w:vAlign w:val="center"/>
            <w:tcMar>
              <w:top w:w="80" w:type="dxa"/>
              <w:bottom w:w="80" w:type="dxa"/>
              <w:start w:w="120" w:type="dxa"/>
              <w:end w:w="120" w:type="dxa"/>
            </w:tcMar>
          </w:tcPr>
          <w:p>
            <w:pPr>
              <w:spacing w:after="40" w:before="0"/>
              <w:jc w:val="left"/>
            </w:pPr>
            <w:r/>
            <w:r>
              <w:rPr>
                <w:b/>
                <w:sz w:val="19"/>
              </w:rPr>
              <w:t>Partenariats et produits</w:t>
            </w:r>
          </w:p>
        </w:tc>
        <w:tc>
          <w:tcPr>
            <w:tcW w:type="dxa" w:w="5322"/>
            <w:vAlign w:val="center"/>
            <w:tcMar>
              <w:top w:w="80" w:type="dxa"/>
              <w:bottom w:w="80" w:type="dxa"/>
              <w:start w:w="120" w:type="dxa"/>
              <w:end w:w="120" w:type="dxa"/>
            </w:tcMar>
          </w:tcPr>
          <w:p>
            <w:pPr>
              <w:spacing w:after="40" w:before="0"/>
              <w:jc w:val="left"/>
            </w:pPr>
            <w:r/>
            <w:r>
              <w:rPr>
                <w:b w:val="0"/>
                <w:sz w:val="19"/>
              </w:rPr>
              <w:t>Demandes banque/concessionnaire, contrats, catalogue, stock et publications.</w:t>
            </w:r>
          </w:p>
        </w:tc>
      </w:tr>
      <w:tr>
        <w:trPr/>
        <w:tc>
          <w:tcPr>
            <w:tcW w:type="dxa" w:w="1210"/>
            <w:vAlign w:val="center"/>
            <w:tcMar>
              <w:top w:w="80" w:type="dxa"/>
              <w:bottom w:w="80" w:type="dxa"/>
              <w:start w:w="120" w:type="dxa"/>
              <w:end w:w="120" w:type="dxa"/>
            </w:tcMar>
          </w:tcPr>
          <w:p>
            <w:pPr>
              <w:spacing w:after="40" w:before="0"/>
              <w:jc w:val="center"/>
            </w:pPr>
            <w:r/>
            <w:r>
              <w:rPr>
                <w:b/>
                <w:sz w:val="19"/>
              </w:rPr>
              <w:t>S8</w:t>
            </w:r>
          </w:p>
        </w:tc>
        <w:tc>
          <w:tcPr>
            <w:tcW w:type="dxa" w:w="2540"/>
            <w:vAlign w:val="center"/>
            <w:tcMar>
              <w:top w:w="80" w:type="dxa"/>
              <w:bottom w:w="80" w:type="dxa"/>
              <w:start w:w="120" w:type="dxa"/>
              <w:end w:w="120" w:type="dxa"/>
            </w:tcMar>
          </w:tcPr>
          <w:p>
            <w:pPr>
              <w:spacing w:after="40" w:before="0"/>
              <w:jc w:val="left"/>
            </w:pPr>
            <w:r/>
            <w:r>
              <w:rPr>
                <w:b/>
                <w:sz w:val="19"/>
              </w:rPr>
              <w:t>Parcours client</w:t>
            </w:r>
          </w:p>
        </w:tc>
        <w:tc>
          <w:tcPr>
            <w:tcW w:type="dxa" w:w="5322"/>
            <w:vAlign w:val="center"/>
            <w:tcMar>
              <w:top w:w="80" w:type="dxa"/>
              <w:bottom w:w="80" w:type="dxa"/>
              <w:start w:w="120" w:type="dxa"/>
              <w:end w:w="120" w:type="dxa"/>
            </w:tcMar>
          </w:tcPr>
          <w:p>
            <w:pPr>
              <w:spacing w:after="40" w:before="0"/>
              <w:jc w:val="left"/>
            </w:pPr>
            <w:r/>
            <w:r>
              <w:rPr>
                <w:b w:val="0"/>
                <w:sz w:val="19"/>
              </w:rPr>
              <w:t>Consultation, comparaison, simulation, compte, dossier et décision bancaire.</w:t>
            </w:r>
          </w:p>
        </w:tc>
      </w:tr>
      <w:tr>
        <w:trPr/>
        <w:tc>
          <w:tcPr>
            <w:tcW w:type="dxa" w:w="1210"/>
            <w:vAlign w:val="center"/>
            <w:tcMar>
              <w:top w:w="80" w:type="dxa"/>
              <w:bottom w:w="80" w:type="dxa"/>
              <w:start w:w="120" w:type="dxa"/>
              <w:end w:w="120" w:type="dxa"/>
            </w:tcMar>
          </w:tcPr>
          <w:p>
            <w:pPr>
              <w:spacing w:after="40" w:before="0"/>
              <w:jc w:val="center"/>
            </w:pPr>
            <w:r/>
            <w:r>
              <w:rPr>
                <w:b/>
                <w:sz w:val="19"/>
              </w:rPr>
              <w:t>S9</w:t>
            </w:r>
          </w:p>
        </w:tc>
        <w:tc>
          <w:tcPr>
            <w:tcW w:type="dxa" w:w="2540"/>
            <w:vAlign w:val="center"/>
            <w:tcMar>
              <w:top w:w="80" w:type="dxa"/>
              <w:bottom w:w="80" w:type="dxa"/>
              <w:start w:w="120" w:type="dxa"/>
              <w:end w:w="120" w:type="dxa"/>
            </w:tcMar>
          </w:tcPr>
          <w:p>
            <w:pPr>
              <w:spacing w:after="40" w:before="0"/>
              <w:jc w:val="left"/>
            </w:pPr>
            <w:r/>
            <w:r>
              <w:rPr>
                <w:b/>
                <w:sz w:val="19"/>
              </w:rPr>
              <w:t>Assistants et qualité</w:t>
            </w:r>
          </w:p>
        </w:tc>
        <w:tc>
          <w:tcPr>
            <w:tcW w:type="dxa" w:w="5322"/>
            <w:vAlign w:val="center"/>
            <w:tcMar>
              <w:top w:w="80" w:type="dxa"/>
              <w:bottom w:w="80" w:type="dxa"/>
              <w:start w:w="120" w:type="dxa"/>
              <w:end w:w="120" w:type="dxa"/>
            </w:tcMar>
          </w:tcPr>
          <w:p>
            <w:pPr>
              <w:spacing w:after="40" w:before="0"/>
              <w:jc w:val="left"/>
            </w:pPr>
            <w:r/>
            <w:r>
              <w:rPr>
                <w:b w:val="0"/>
                <w:sz w:val="19"/>
              </w:rPr>
              <w:t>Assistant IA, chatbot public, sécurité, tests, corrections et validation globale.</w:t>
            </w:r>
          </w:p>
        </w:tc>
      </w:tr>
    </w:tbl>
    <w:p>
      <w:pPr>
        <w:pStyle w:val="gjcqjg1a"/>
        <w:spacing w:line="360" w:lineRule="auto"/>
        <w:jc w:val="both"/>
      </w:pPr>
      <w:r>
        <w:t>À l’issue de chaque sprint, les fonctionnalités développées font l’objet de tests techniques et fonctionnels. Elles sont ensuite présentées lors de la revue de sprint afin de recueillir les retours nécessaires et d’ajuster, si besoin, les priorités du Product Backlog. Cette organisation favorise une progression continue du projet et une livraison progressive de fonctionnalités utilisables.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de la démarche DevOps,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conception et le développement de la plateforme, une démarche de livraison et de déploiement a été mise en place afin que chaque nouvelle version puisse être construite, vérifiée et déployée de manière reproductible. L’objectif ne se limite pas à rendre l’application accessible dans le Cloud : il consiste également à automatiser les contrôles qui précèdent la mise en production.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distribution des images et Microsoft Azure pour l’hébergement. Azure CLI permet enfin au pipeline d’appliquer les mises à jour sur les services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dans Microsoft Azure.</w:t>
      </w:r>
    </w:p>
    <w:p>
      <w:pPr>
        <w:keepNext/>
        <w:jc w:val="center"/>
      </w:pPr>
      <w:r>
        <w:drawing>
          <wp:inline xmlns:a="http://schemas.openxmlformats.org/drawingml/2006/main" xmlns:pic="http://schemas.openxmlformats.org/drawingml/2006/picture">
            <wp:extent cx="5349240" cy="3164967"/>
            <wp:docPr id="31" name="Picture 31"/>
            <wp:cNvGraphicFramePr>
              <a:graphicFrameLocks noChangeAspect="1"/>
            </wp:cNvGraphicFramePr>
            <a:graphic>
              <a:graphicData uri="http://schemas.openxmlformats.org/drawingml/2006/picture">
                <pic:pic>
                  <pic:nvPicPr>
                    <pic:cNvPr id="0" name="fig_6_1_cicd_pipeline.png"/>
                    <pic:cNvPicPr/>
                  </pic:nvPicPr>
                  <pic:blipFill>
                    <a:blip r:embed="rId38"/>
                    <a:stretch>
                      <a:fillRect/>
                    </a:stretch>
                  </pic:blipFill>
                  <pic:spPr>
                    <a:xfrm>
                      <a:off x="0" y="0"/>
                      <a:ext cx="5349240" cy="316496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principes de la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Démarche DevOps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DevOps est une démarche qui associe étroitement les activités de développement et d’exploitation afin d’améliorer la collaboration, la qualité des livraisons et la fiabilité des déploiements. Dans ce projet, il se traduit par un processus automatisé qui enchaîne la construction, les tests, l’analyse du code, la création d’images Docker et le déploiement des versions validées.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construisant les images Docker, en les publiant dans un registre puis en mettant à jour les services Azure. Une étape critique en échec interrompt le pipeline et empêche le déploiement d’une version non validée.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Préparation et validation de la conteneurisation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 manuellement. Cette phase a permis de vérifier les Dockerfiles, les variables d’environnement, les ports exposés et la communication entre les services avant de confier leur enchaînement à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Gestion des versions avec Git et GitHub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local des évolutions du projet tandis que GitHub centralise le dépôt distant. Le dépôt rassemble le backend Spring Boot, le frontend React, le fichier docker-compose.yml et le Jenkinsfile. Il devient ainsi le point d’entrée du pipeline : un push sur la branche suivie par Jenkins déclenche la récupération de la nouvelle version du 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pPr>
        <w:keepNext/>
        <w:jc w:val="center"/>
      </w:pPr>
      <w:r>
        <w:drawing>
          <wp:inline xmlns:a="http://schemas.openxmlformats.org/drawingml/2006/main" xmlns:pic="http://schemas.openxmlformats.org/drawingml/2006/picture">
            <wp:extent cx="5349240" cy="2823210"/>
            <wp:docPr id="32" name="Picture 32"/>
            <wp:cNvGraphicFramePr>
              <a:graphicFrameLocks noChangeAspect="1"/>
            </wp:cNvGraphicFramePr>
            <a:graphic>
              <a:graphicData uri="http://schemas.openxmlformats.org/drawingml/2006/picture">
                <pic:pic>
                  <pic:nvPicPr>
                    <pic:cNvPr id="0" name="fig_6_2_organisation_depot.png"/>
                    <pic:cNvPicPr/>
                  </pic:nvPicPr>
                  <pic:blipFill>
                    <a:blip r:embed="rId39"/>
                    <a:stretch>
                      <a:fillRect/>
                    </a:stretch>
                  </pic:blipFill>
                  <pic:spPr>
                    <a:xfrm>
                      <a:off x="0" y="0"/>
                      <a:ext cx="5349240" cy="282321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Organisation du dépôt GitHub de la plateforme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Conteneurisation du backend Spring Boot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image Java d’exécution plus légère ne conserve que le fichier JAR produit. Le service expose l’API REST sur le port 8081. L’image a été construite et exécutée manuellement lors de la phase initiale afin de valider le démarrage de l’API avant son intégration au pipeline.</w:t>
      </w:r>
    </w:p>
    <w:p>
      <w:pPr>
        <w:keepNext/>
        <w:jc w:val="center"/>
      </w:pPr>
      <w:r>
        <w:drawing>
          <wp:inline xmlns:a="http://schemas.openxmlformats.org/drawingml/2006/main" xmlns:pic="http://schemas.openxmlformats.org/drawingml/2006/picture">
            <wp:extent cx="3886200" cy="3857937"/>
            <wp:docPr id="33" name="Picture 33"/>
            <wp:cNvGraphicFramePr>
              <a:graphicFrameLocks noChangeAspect="1"/>
            </wp:cNvGraphicFramePr>
            <a:graphic>
              <a:graphicData uri="http://schemas.openxmlformats.org/drawingml/2006/picture">
                <pic:pic>
                  <pic:nvPicPr>
                    <pic:cNvPr id="0" name="imageBackend.png"/>
                    <pic:cNvPicPr/>
                  </pic:nvPicPr>
                  <pic:blipFill>
                    <a:blip r:embed="rId40"/>
                    <a:stretch>
                      <a:fillRect/>
                    </a:stretch>
                  </pic:blipFill>
                  <pic:spPr>
                    <a:xfrm>
                      <a:off x="0" y="0"/>
                      <a:ext cx="3886200" cy="3857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Conteneurisation du frontend React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génère les fichiers statiques de production ; ceux-ci sont ensuite servis par Nginx. La variable VITE_API_URL est fournie au moment du build afin d’associer le frontend à l’URL du backend correspondant à l’environnement cible. La construction et l’exécution de cette image ont été vérifiées manuellement avant leur automatisation.</w:t>
      </w:r>
    </w:p>
    <w:p>
      <w:pPr>
        <w:keepNext/>
        <w:jc w:val="center"/>
      </w:pPr>
      <w:r>
        <w:drawing>
          <wp:inline xmlns:a="http://schemas.openxmlformats.org/drawingml/2006/main" xmlns:pic="http://schemas.openxmlformats.org/drawingml/2006/picture">
            <wp:extent cx="5349240" cy="3256484"/>
            <wp:docPr id="34" name="Picture 34"/>
            <wp:cNvGraphicFramePr>
              <a:graphicFrameLocks noChangeAspect="1"/>
            </wp:cNvGraphicFramePr>
            <a:graphic>
              <a:graphicData uri="http://schemas.openxmlformats.org/drawingml/2006/picture">
                <pic:pic>
                  <pic:nvPicPr>
                    <pic:cNvPr id="0" name="imageFrontend.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Orchestration locale avec Docker Compose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ports exposés, les variables d’environnement, le volume des fichiers téléversés et le réseau de communication. La commande docker compose up -d permet de démarrer un environnement local cohérent. Cette exécution manuelle a permis de vérifier que les deux conteneurs communiquent correctement et que l’application est fonctionnelle avant l’automatisation de la chaîne CI/CD.</w:t>
      </w:r>
    </w:p>
    <w:p>
      <w:pPr>
        <w:keepNext/>
        <w:jc w:val="center"/>
      </w:pPr>
      <w:r>
        <w:drawing>
          <wp:inline xmlns:a="http://schemas.openxmlformats.org/drawingml/2006/main" xmlns:pic="http://schemas.openxmlformats.org/drawingml/2006/picture">
            <wp:extent cx="3886200" cy="4083088"/>
            <wp:docPr id="35" name="Picture 35"/>
            <wp:cNvGraphicFramePr>
              <a:graphicFrameLocks noChangeAspect="1"/>
            </wp:cNvGraphicFramePr>
            <a:graphic>
              <a:graphicData uri="http://schemas.openxmlformats.org/drawingml/2006/picture">
                <pic:pic>
                  <pic:nvPicPr>
                    <pic:cNvPr id="0" name="dockercompose.png"/>
                    <pic:cNvPicPr/>
                  </pic:nvPicPr>
                  <pic:blipFill>
                    <a:blip r:embed="rId42"/>
                    <a:stretch>
                      <a:fillRect/>
                    </a:stretch>
                  </pic:blipFill>
                  <pic:spPr>
                    <a:xfrm>
                      <a:off x="0" y="0"/>
                      <a:ext cx="3886200" cy="408308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Mise en place du pipeline CI/CD avec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 les étapes de construction et de conteneurisation validées, Jenkins a été configuré pour les enchaîner automatiquement. Le pipeline reprend donc un processus déjà testé, en garantissant qu’il est exécuté de manière identique à chaque nouvelle version du code.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le composant central de la chaîne CI/CD. Exécuté dans un conteneur Docker, il récupère le code depuis GitHub et coordonne les outils nécessaires au pipeline : Maven, Node.js, Docker, SonarQube, Docker Hub et Azure CLI. Les accès aux services externes sont gérés à l’aide de credentials configurés dans Jenkins, afin de ne pas intégrer les informations d’authentification dans le dépôt source.</w:t>
      </w:r>
    </w:p>
    <w:p>
      <w:pPr>
        <w:keepNext/>
        <w:jc w:val="center"/>
      </w:pPr>
      <w:r>
        <w:drawing>
          <wp:inline xmlns:a="http://schemas.openxmlformats.org/drawingml/2006/main" xmlns:pic="http://schemas.openxmlformats.org/drawingml/2006/picture">
            <wp:extent cx="5349240" cy="3009236"/>
            <wp:docPr id="36" name="Picture 36"/>
            <wp:cNvGraphicFramePr>
              <a:graphicFrameLocks noChangeAspect="1"/>
            </wp:cNvGraphicFramePr>
            <a:graphic>
              <a:graphicData uri="http://schemas.openxmlformats.org/drawingml/2006/picture">
                <pic:pic>
                  <pic:nvPicPr>
                    <pic:cNvPr id="0" name="jenkins.png"/>
                    <pic:cNvPicPr/>
                  </pic:nvPicPr>
                  <pic:blipFill>
                    <a:blip r:embed="rId43"/>
                    <a:stretch>
                      <a:fillRect/>
                    </a:stretch>
                  </pic:blipFill>
                  <pic:spPr>
                    <a:xfrm>
                      <a:off x="0" y="0"/>
                      <a:ext cx="5349240" cy="3009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Pipeline as Code avec le Jenkinsfile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 Le pipeline comporte les étapes Checkout, Build Backend, Build Frontend, Tests Backend, analyses SonarQube, Docker Build, publication des images puis déploiements du backend et du frontend sur Azure.</w:t>
      </w:r>
    </w:p>
    <w:p>
      <w:pPr>
        <w:keepNext/>
        <w:jc w:val="center"/>
      </w:pPr>
      <w:r>
        <w:drawing>
          <wp:inline xmlns:a="http://schemas.openxmlformats.org/drawingml/2006/main" xmlns:pic="http://schemas.openxmlformats.org/drawingml/2006/picture">
            <wp:extent cx="5349240" cy="2784652"/>
            <wp:docPr id="37" name="Picture 37"/>
            <wp:cNvGraphicFramePr>
              <a:graphicFrameLocks noChangeAspect="1"/>
            </wp:cNvGraphicFramePr>
            <a:graphic>
              <a:graphicData uri="http://schemas.openxmlformats.org/drawingml/2006/picture">
                <pic:pic>
                  <pic:nvPicPr>
                    <pic:cNvPr id="0" name="CréationPipelin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 dans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Déclenchement automatique avec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démarrer automatiquement le pipeline. Ce mécanisme évite le lancement manuel d’un build après chaque modification.</w:t>
      </w:r>
    </w:p>
    <w:p>
      <w:pPr>
        <w:keepNext/>
        <w:jc w:val="center"/>
      </w:pPr>
      <w:r>
        <w:drawing>
          <wp:inline xmlns:a="http://schemas.openxmlformats.org/drawingml/2006/main" xmlns:pic="http://schemas.openxmlformats.org/drawingml/2006/picture">
            <wp:extent cx="5349240" cy="2991185"/>
            <wp:docPr id="38" name="Picture 38"/>
            <wp:cNvGraphicFramePr>
              <a:graphicFrameLocks noChangeAspect="1"/>
            </wp:cNvGraphicFramePr>
            <a:graphic>
              <a:graphicData uri="http://schemas.openxmlformats.org/drawingml/2006/picture">
                <pic:pic>
                  <pic:nvPicPr>
                    <pic:cNvPr id="0" name="ConfigWebhookSurGithub.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adresse localhost n’était pas accessible depuis GitHub. Un Cloudflare Tunnel a donc été utilisé pour exposer temporairement le serveur Jenkins par une adresse HTTPS publique et rediriger les événements vers l’instance locale.</w:t>
      </w:r>
    </w:p>
    <w:p>
      <w:pPr>
        <w:keepNext/>
        <w:jc w:val="center"/>
      </w:pPr>
      <w:r>
        <w:drawing>
          <wp:inline xmlns:a="http://schemas.openxmlformats.org/drawingml/2006/main" xmlns:pic="http://schemas.openxmlformats.org/drawingml/2006/picture">
            <wp:extent cx="5349240" cy="2563236"/>
            <wp:docPr id="39" name="Picture 39"/>
            <wp:cNvGraphicFramePr>
              <a:graphicFrameLocks noChangeAspect="1"/>
            </wp:cNvGraphicFramePr>
            <a:graphic>
              <a:graphicData uri="http://schemas.openxmlformats.org/drawingml/2006/picture">
                <pic:pic>
                  <pic:nvPicPr>
                    <pic:cNvPr id="0" name="CréationTunnelCloudflareTempVersJenkins.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 de Jenkins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Exécution automatisée du pipeline CI/CD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déclenché à chaque push reçu depuis GitHub. Il applique ensuite, dans un ordre contrôlé, les étapes suivantes : récupération du code, construction du backend et du frontend, exécution des tests, analyse de qualité, création des images Docker, publication dans Docker Hub et déploiement des nouvelles versions sur Microsoft Azure. En cas d’échec d’une étape critique, les étapes suivantes ne sont pas exécutées.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Récupération du code et construction des applications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checkout, Jenkins construit le backend avec Maven puis le frontend avec Node.js et npm. Le backend est préparé avec la commande Maven de construction définie dans le Jenkinsfile ; le frontend exécute npm ci puis npm run build. Lors du build de production, VITE_API_URL reçoit l’adresse publique du backend Azure afin que le frontend déployé communique avec l’API cible.</w:t>
      </w:r>
    </w:p>
    <w:p>
      <w:pPr>
        <w:keepNext/>
        <w:jc w:val="center"/>
      </w:pPr>
      <w:r>
        <w:drawing>
          <wp:inline xmlns:a="http://schemas.openxmlformats.org/drawingml/2006/main" xmlns:pic="http://schemas.openxmlformats.org/drawingml/2006/picture">
            <wp:extent cx="5349240" cy="3201653"/>
            <wp:docPr id="40" name="Picture 40"/>
            <wp:cNvGraphicFramePr>
              <a:graphicFrameLocks noChangeAspect="1"/>
            </wp:cNvGraphicFramePr>
            <a:graphic>
              <a:graphicData uri="http://schemas.openxmlformats.org/drawingml/2006/picture">
                <pic:pic>
                  <pic:nvPicPr>
                    <pic:cNvPr id="0" name="CommandeBackend.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 le pipeline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5.2. Exécution automatique des tests backend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sont exécutés avant la création des images Docker. Ils constituent une barrière de qualité : si l’exécution échoue, Jenkins interrompt le pipeline et les opérations de publication et de déploiement ne sont pas réalisées. Les rapports de couverture générés avec JaCoCo sont également utilisables lors de l’analyse SonarQube.</w:t>
      </w:r>
    </w:p>
    <w:p>
      <w:pPr>
        <w:keepNext/>
        <w:jc w:val="center"/>
      </w:pPr>
      <w:r>
        <w:drawing>
          <wp:inline xmlns:a="http://schemas.openxmlformats.org/drawingml/2006/main" xmlns:pic="http://schemas.openxmlformats.org/drawingml/2006/picture">
            <wp:extent cx="5349240" cy="3178045"/>
            <wp:docPr id="41" name="Picture 41"/>
            <wp:cNvGraphicFramePr>
              <a:graphicFrameLocks noChangeAspect="1"/>
            </wp:cNvGraphicFramePr>
            <a:graphic>
              <a:graphicData uri="http://schemas.openxmlformats.org/drawingml/2006/picture">
                <pic:pic>
                  <pic:nvPicPr>
                    <pic:cNvPr id="0" name="testBackend.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5.3. Analyse statique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 aide à détecter les défauts qui ne sont pas nécessairement révélés par les tests fonctionnels.</w:t>
      </w:r>
    </w:p>
    <w:p>
      <w:pPr>
        <w:keepNext/>
        <w:jc w:val="center"/>
      </w:pPr>
      <w:r>
        <w:drawing>
          <wp:inline xmlns:a="http://schemas.openxmlformats.org/drawingml/2006/main" xmlns:pic="http://schemas.openxmlformats.org/drawingml/2006/picture">
            <wp:extent cx="5349240" cy="3105920"/>
            <wp:docPr id="42" name="Picture 42"/>
            <wp:cNvGraphicFramePr>
              <a:graphicFrameLocks noChangeAspect="1"/>
            </wp:cNvGraphicFramePr>
            <a:graphic>
              <a:graphicData uri="http://schemas.openxmlformats.org/drawingml/2006/picture">
                <pic:pic>
                  <pic:nvPicPr>
                    <pic:cNvPr id="0" name="SonarQubeProjects.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5.4. Construction et publication des images Docker</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l’analyse de qualité, Jenkins utilise les Dockerfiles du projet pour construire une image dédiée au backend et une autre au frontend. Les images sont étiquetées avec le numéro du build Jenkins et avec le tag latest, ce qui assure la traçabilité entre une exécution du pipeline et l’artefact produit.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récupérer la version à déployer.</w:t>
      </w:r>
    </w:p>
    <w:p>
      <w:pPr>
        <w:keepNext/>
        <w:jc w:val="center"/>
      </w:pPr>
      <w:r>
        <w:drawing>
          <wp:inline xmlns:a="http://schemas.openxmlformats.org/drawingml/2006/main" xmlns:pic="http://schemas.openxmlformats.org/drawingml/2006/picture">
            <wp:extent cx="5349240" cy="2988951"/>
            <wp:docPr id="43" name="Picture 43"/>
            <wp:cNvGraphicFramePr>
              <a:graphicFrameLocks noChangeAspect="1"/>
            </wp:cNvGraphicFramePr>
            <a:graphic>
              <a:graphicData uri="http://schemas.openxmlformats.org/drawingml/2006/picture">
                <pic:pic>
                  <pic:nvPicPr>
                    <pic:cNvPr id="0" name="créationRepoDockerHub.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Déploiement de Matchia sur Microsoft Azure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6.1. Préparation de l’environnement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a été retenu afin d’héberger les composants de la plateforme dans un environnement Cloud. L’architecture répartit les responsabilités entre Azure Container Apps pour les conteneurs applicatifs, Azure Database for PostgreSQL pour les données métier et Azure Files pour les fichiers persistants. Cette séparation préserve les données et les fichiers lors du remplacement d’une révision de conteneur.</w:t>
      </w:r>
    </w:p>
    <w:p>
      <w:pPr>
        <w:keepNext/>
        <w:jc w:val="center"/>
      </w:pPr>
      <w:r>
        <w:drawing>
          <wp:inline xmlns:a="http://schemas.openxmlformats.org/drawingml/2006/main" xmlns:pic="http://schemas.openxmlformats.org/drawingml/2006/picture">
            <wp:extent cx="5349240" cy="4265462"/>
            <wp:docPr id="44" name="Picture 44"/>
            <wp:cNvGraphicFramePr>
              <a:graphicFrameLocks noChangeAspect="1"/>
            </wp:cNvGraphicFramePr>
            <a:graphic>
              <a:graphicData uri="http://schemas.openxmlformats.org/drawingml/2006/picture">
                <pic:pic>
                  <pic:nvPicPr>
                    <pic:cNvPr id="0" name="azur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6.2. Base de données PostgreSQL managée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base de données PostgreSQL est hébergée dans Azure Database for PostgreSQL Flexible Server. Le backend y accède au moyen d’une chaîne JDBC fournie par des variables d’environnement, sans inscrire les paramètres de connexion dans le code source. La migration initiale peut être réalisée avec pg_dump puis pg_restore afin de conserver la continuité des données entre l’environnement local et l’environnement Cloud.</w:t>
      </w:r>
    </w:p>
    <w:p>
      <w:pPr>
        <w:keepNext/>
        <w:jc w:val="center"/>
      </w:pPr>
      <w:r>
        <w:drawing>
          <wp:inline xmlns:a="http://schemas.openxmlformats.org/drawingml/2006/main" xmlns:pic="http://schemas.openxmlformats.org/drawingml/2006/picture">
            <wp:extent cx="5349240" cy="3381303"/>
            <wp:docPr id="45" name="Picture 45"/>
            <wp:cNvGraphicFramePr>
              <a:graphicFrameLocks noChangeAspect="1"/>
            </wp:cNvGraphicFramePr>
            <a:graphic>
              <a:graphicData uri="http://schemas.openxmlformats.org/drawingml/2006/picture">
                <pic:pic>
                  <pic:nvPicPr>
                    <pic:cNvPr id="0" name="ConfigurationDataBas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6.3. Stockage persistant avec Azure Files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étant remplaçables, les fichiers déposés dans leur système de fichiers interne ne doivent pas constituer le stockage permanent. Azure Files fournit donc un partage monté dans le backend, notamment pour conserver les documents justificatifs, les images de produits, les logos et les autres contenus téléversés. Le montage du partage garantit que ces fichiers demeurent disponibles après la création d’une nouvelle révision.</w:t>
      </w:r>
    </w:p>
    <w:p>
      <w:pPr>
        <w:keepNext/>
        <w:jc w:val="center"/>
      </w:pPr>
      <w:r>
        <w:drawing>
          <wp:inline xmlns:a="http://schemas.openxmlformats.org/drawingml/2006/main" xmlns:pic="http://schemas.openxmlformats.org/drawingml/2006/picture">
            <wp:extent cx="5349240" cy="3353538"/>
            <wp:docPr id="46" name="Picture 46"/>
            <wp:cNvGraphicFramePr>
              <a:graphicFrameLocks noChangeAspect="1"/>
            </wp:cNvGraphicFramePr>
            <a:graphic>
              <a:graphicData uri="http://schemas.openxmlformats.org/drawingml/2006/picture">
                <pic:pic>
                  <pic:nvPicPr>
                    <pic:cNvPr id="0" name="StockageAzureDataBas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6.4. Hébergement avec Azure Container Apps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rend les services accessibles en HTTPS et les deux composants peuvent être mis à jour indépendamment.</w:t>
      </w:r>
    </w:p>
    <w:p>
      <w:pPr>
        <w:keepNext/>
        <w:jc w:val="center"/>
      </w:pPr>
      <w:r>
        <w:drawing>
          <wp:inline xmlns:a="http://schemas.openxmlformats.org/drawingml/2006/main" xmlns:pic="http://schemas.openxmlformats.org/drawingml/2006/picture">
            <wp:extent cx="5349240" cy="3289937"/>
            <wp:docPr id="47" name="Picture 47"/>
            <wp:cNvGraphicFramePr>
              <a:graphicFrameLocks noChangeAspect="1"/>
            </wp:cNvGraphicFramePr>
            <a:graphic>
              <a:graphicData uri="http://schemas.openxmlformats.org/drawingml/2006/picture">
                <pic:pic>
                  <pic:nvPicPr>
                    <pic:cNvPr id="0" name="ConfigContainerFrontend.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pPr>
        <w:keepNext/>
        <w:jc w:val="center"/>
      </w:pPr>
      <w:r>
        <w:drawing>
          <wp:inline xmlns:a="http://schemas.openxmlformats.org/drawingml/2006/main" xmlns:pic="http://schemas.openxmlformats.org/drawingml/2006/picture">
            <wp:extent cx="5349240" cy="3254325"/>
            <wp:docPr id="48" name="Picture 48"/>
            <wp:cNvGraphicFramePr>
              <a:graphicFrameLocks noChangeAspect="1"/>
            </wp:cNvGraphicFramePr>
            <a:graphic>
              <a:graphicData uri="http://schemas.openxmlformats.org/drawingml/2006/picture">
                <pic:pic>
                  <pic:nvPicPr>
                    <pic:cNvPr id="0" name="ConfigurationContainerBackend.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6.5. Déploiement automatisé avec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mettre à jour successivement la Container App du backend et celle du frontend. Une nouvelle révision est créée avec le numéro du build ; cette révision fournit une version identifiable et permet de suivre le résultat du déploiement.</w:t>
      </w:r>
    </w:p>
    <w:p>
      <w:pPr>
        <w:keepNext/>
        <w:jc w:val="center"/>
      </w:pPr>
      <w:r>
        <w:drawing>
          <wp:inline xmlns:a="http://schemas.openxmlformats.org/drawingml/2006/main" xmlns:pic="http://schemas.openxmlformats.org/drawingml/2006/picture">
            <wp:extent cx="5349240" cy="3109893"/>
            <wp:docPr id="49" name="Picture 49"/>
            <wp:cNvGraphicFramePr>
              <a:graphicFrameLocks noChangeAspect="1"/>
            </wp:cNvGraphicFramePr>
            <a:graphic>
              <a:graphicData uri="http://schemas.openxmlformats.org/drawingml/2006/picture">
                <pic:pic>
                  <pic:nvPicPr>
                    <pic:cNvPr id="0" name="DéploiementRéussi.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6.19 — Création d’une nouvelle révision Azure Container Apps après déploiement</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Architecture complète et validation du processus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push, Jenkins récupère le code, construit les deux composants, exécute les tests et les analyses, publie les images puis demande à Azure Container Apps d’utiliser les nouvelles versions. Le backend déployé communique avec PostgreSQL Azure et avec le stockage persistant Azure Files.</w:t>
      </w:r>
    </w:p>
    <w:p>
      <w:pPr>
        <w:keepNext/>
        <w:jc w:val="center"/>
      </w:pPr>
      <w:r>
        <w:drawing>
          <wp:inline xmlns:a="http://schemas.openxmlformats.org/drawingml/2006/main" xmlns:pic="http://schemas.openxmlformats.org/drawingml/2006/picture">
            <wp:extent cx="5349240" cy="3231832"/>
            <wp:docPr id="50" name="Picture 50"/>
            <wp:cNvGraphicFramePr>
              <a:graphicFrameLocks noChangeAspect="1"/>
            </wp:cNvGraphicFramePr>
            <a:graphic>
              <a:graphicData uri="http://schemas.openxmlformats.org/drawingml/2006/picture">
                <pic:pic>
                  <pic:nvPicPr>
                    <pic:cNvPr id="0" name="fig_6_2_azure_deployment_architecture.png"/>
                    <pic:cNvPicPr/>
                  </pic:nvPicPr>
                  <pic:blipFill>
                    <a:blip r:embed="rId57"/>
                    <a:stretch>
                      <a:fillRect/>
                    </a:stretch>
                  </pic:blipFill>
                  <pic:spPr>
                    <a:xfrm>
                      <a:off x="0" y="0"/>
                      <a:ext cx="5349240" cy="323183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7.1.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 à exécuter un git push sur la branche suivie. Le Webhook déclenche Jenkins, qui exécute successivement les étapes de construction, de test, d’analyse, de création d’images, de publication et de déploiement. La disponibilité d’une nouvelle révision des Container Apps après une exécution réussie confirme le fonctionnement de bout en bout du processus automatisé.</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