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La planification du projet s’appuie sur l’approche Agile Scrum. Le Product Backlog est organisé par incréments fonctionnels cohérents avec la structure des chapitres de réalisation. Chaque sprint, prévu sur deux semaines, produit un ensemble de fonctionnalités testables et directement rattachées à une section ou à un sous-titre du rapport.</w:t>
      </w:r>
    </w:p>
    <w:p>
      <w:pPr>
        <w:pStyle w:val="gjcqjg1a"/>
        <w:spacing w:line="360" w:lineRule="auto"/>
        <w:jc w:val="both"/>
      </w:pPr>
      <w:r>
        <w:t>Deux releases structurent cette planification. La première couvre la réalisation du socle SaaS et le cycle de vie complet de la marketplace bancaire. La seconde regroupe les parcours des concessionnaires et des clients, ainsi que les assistants conversationnels. Selon l’ampleur fonctionnelle, un titre de chapitre peut être réalisé par plusieurs sprints, tandis qu’un sous-titre ciblé peut correspondre à un sprint unique.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 la marketplace</w:t>
      </w:r>
    </w:p>
    <w:p>
      <w:pPr>
        <w:pStyle w:val="gjcqjg1a"/>
        <w:spacing w:line="360" w:lineRule="auto"/>
        <w:jc w:val="both"/>
      </w:pPr>
      <w:r>
        <w:t>Cette release correspond aux principales sections du chapitre 4. Elle permet de livrer progressivement le socle multi-tenant, la demande de création de marketplace, l’administration SaaS, le paiement puis les espaces bancaire et public.</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S1</w:t>
            </w:r>
          </w:p>
        </w:tc>
        <w:tc>
          <w:tcPr>
            <w:tcW w:type="dxa" w:w="2540"/>
            <w:vAlign w:val="center"/>
          </w:tcPr>
          <w:p>
            <w:pPr>
              <w:spacing w:after="40" w:before="0"/>
              <w:jc w:val="center"/>
            </w:pPr>
            <w:r>
              <w:rPr>
                <w:b/>
                <w:sz w:val="19"/>
              </w:rPr>
              <w:t>Socle SaaS multi-tenant</w:t>
            </w:r>
          </w:p>
        </w:tc>
        <w:tc>
          <w:tcPr>
            <w:tcW w:type="dxa" w:w="5322"/>
            <w:vAlign w:val="center"/>
          </w:tcPr>
          <w:p>
            <w:pPr>
              <w:spacing w:after="40" w:before="0"/>
              <w:jc w:val="center"/>
            </w:pPr>
            <w:r>
              <w:rPr>
                <w:b/>
                <w:sz w:val="19"/>
              </w:rPr>
              <w:t>Authentification, rôles, gestion des sessions, isolation des données et mécanismes de sécurité communs.</w:t>
            </w:r>
          </w:p>
        </w:tc>
      </w:tr>
      <w:tr>
        <w:tc>
          <w:tcPr>
            <w:tcW w:type="dxa" w:w="1210"/>
            <w:vAlign w:val="center"/>
          </w:tcPr>
          <w:p>
            <w:pPr>
              <w:spacing w:after="40" w:before="0"/>
              <w:jc w:val="center"/>
            </w:pPr>
            <w:r>
              <w:rPr>
                <w:b/>
                <w:sz w:val="19"/>
              </w:rPr>
              <w:t>S2</w:t>
            </w:r>
          </w:p>
        </w:tc>
        <w:tc>
          <w:tcPr>
            <w:tcW w:type="dxa" w:w="2540"/>
            <w:vAlign w:val="center"/>
          </w:tcPr>
          <w:p>
            <w:pPr>
              <w:spacing w:after="40" w:before="0"/>
              <w:jc w:val="center"/>
            </w:pPr>
            <w:r>
              <w:rPr>
                <w:b/>
                <w:sz w:val="19"/>
              </w:rPr>
              <w:t>Demande de création de marketplace</w:t>
            </w:r>
          </w:p>
        </w:tc>
        <w:tc>
          <w:tcPr>
            <w:tcW w:type="dxa" w:w="5322"/>
            <w:vAlign w:val="center"/>
          </w:tcPr>
          <w:p>
            <w:pPr>
              <w:spacing w:after="40" w:before="0"/>
              <w:jc w:val="center"/>
            </w:pPr>
            <w:r>
              <w:rPr>
                <w:b/>
                <w:sz w:val="19"/>
              </w:rPr>
              <w:t>Informations de la banque et de l’administrateur, vérification e-mail, configuration, stores, modules et soumission.</w:t>
            </w:r>
          </w:p>
        </w:tc>
      </w:tr>
      <w:tr>
        <w:tc>
          <w:tcPr>
            <w:tcW w:type="dxa" w:w="1210"/>
            <w:vAlign w:val="center"/>
          </w:tcPr>
          <w:p>
            <w:pPr>
              <w:spacing w:after="40" w:before="0"/>
              <w:jc w:val="center"/>
            </w:pPr>
            <w:r>
              <w:rPr>
                <w:b/>
                <w:sz w:val="19"/>
              </w:rPr>
              <w:t>S3</w:t>
            </w:r>
          </w:p>
        </w:tc>
        <w:tc>
          <w:tcPr>
            <w:tcW w:type="dxa" w:w="2540"/>
            <w:vAlign w:val="center"/>
          </w:tcPr>
          <w:p>
            <w:pPr>
              <w:spacing w:after="40" w:before="0"/>
              <w:jc w:val="center"/>
            </w:pPr>
            <w:r>
              <w:rPr>
                <w:b/>
                <w:sz w:val="19"/>
              </w:rPr>
              <w:t>Back-office SaaS</w:t>
            </w:r>
          </w:p>
        </w:tc>
        <w:tc>
          <w:tcPr>
            <w:tcW w:type="dxa" w:w="5322"/>
            <w:vAlign w:val="center"/>
          </w:tcPr>
          <w:p>
            <w:pPr>
              <w:spacing w:after="40" w:before="0"/>
              <w:jc w:val="center"/>
            </w:pPr>
            <w:r>
              <w:rPr>
                <w:b/>
                <w:sz w:val="19"/>
              </w:rPr>
              <w:t>Tableau de bord, gestion des banques, utilisateurs, stores, modules, offres, abonnements et paramètres.</w:t>
            </w:r>
          </w:p>
        </w:tc>
      </w:tr>
      <w:tr>
        <w:tc>
          <w:tcPr>
            <w:tcW w:type="dxa" w:w="1210"/>
            <w:vAlign w:val="center"/>
          </w:tcPr>
          <w:p>
            <w:pPr>
              <w:spacing w:after="40" w:before="0"/>
              <w:jc w:val="center"/>
            </w:pPr>
            <w:r>
              <w:rPr>
                <w:b/>
                <w:sz w:val="19"/>
              </w:rPr>
              <w:t>S4</w:t>
            </w:r>
          </w:p>
        </w:tc>
        <w:tc>
          <w:tcPr>
            <w:tcW w:type="dxa" w:w="2540"/>
            <w:vAlign w:val="center"/>
          </w:tcPr>
          <w:p>
            <w:pPr>
              <w:spacing w:after="40" w:before="0"/>
              <w:jc w:val="center"/>
            </w:pPr>
            <w:r>
              <w:rPr>
                <w:b/>
                <w:sz w:val="19"/>
              </w:rPr>
              <w:t>Traitement, paiement et activation</w:t>
            </w:r>
          </w:p>
        </w:tc>
        <w:tc>
          <w:tcPr>
            <w:tcW w:type="dxa" w:w="5322"/>
            <w:vAlign w:val="center"/>
          </w:tcPr>
          <w:p>
            <w:pPr>
              <w:spacing w:after="40" w:before="0"/>
              <w:jc w:val="center"/>
            </w:pPr>
            <w:r>
              <w:rPr>
                <w:b/>
                <w:sz w:val="19"/>
              </w:rPr>
              <w:t>Analyse des demandes, approbation ou rejet, e-mails, paiement Stripe et activation conditionnelle des services.</w:t>
            </w:r>
          </w:p>
        </w:tc>
      </w:tr>
      <w:tr>
        <w:tc>
          <w:tcPr>
            <w:tcW w:type="dxa" w:w="1210"/>
            <w:vAlign w:val="center"/>
          </w:tcPr>
          <w:p>
            <w:pPr>
              <w:spacing w:after="40" w:before="0"/>
              <w:jc w:val="center"/>
            </w:pPr>
            <w:r>
              <w:rPr>
                <w:b/>
                <w:sz w:val="19"/>
              </w:rPr>
              <w:t>S5</w:t>
            </w:r>
          </w:p>
        </w:tc>
        <w:tc>
          <w:tcPr>
            <w:tcW w:type="dxa" w:w="2540"/>
            <w:vAlign w:val="center"/>
          </w:tcPr>
          <w:p>
            <w:pPr>
              <w:spacing w:after="40" w:before="0"/>
              <w:jc w:val="center"/>
            </w:pPr>
            <w:r>
              <w:rPr>
                <w:b/>
                <w:sz w:val="19"/>
              </w:rPr>
              <w:t>Back-office Banque et marketplace publique</w:t>
            </w:r>
          </w:p>
        </w:tc>
        <w:tc>
          <w:tcPr>
            <w:tcW w:type="dxa" w:w="5322"/>
            <w:vAlign w:val="center"/>
          </w:tcPr>
          <w:p>
            <w:pPr>
              <w:spacing w:after="40" w:before="0"/>
              <w:jc w:val="center"/>
            </w:pPr>
            <w:r>
              <w:rPr>
                <w:b/>
                <w:sz w:val="19"/>
              </w:rPr>
              <w:t>Personnalisation, contenus, configuration des stores et modules, abonnements, catalogue public, comparateur et simulateur.</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des concessionnaires, des clients et assistants conversationnels</w:t>
      </w:r>
    </w:p>
    <w:p>
      <w:pPr>
        <w:pStyle w:val="gjcqjg1a"/>
        <w:spacing w:line="360" w:lineRule="auto"/>
        <w:jc w:val="both"/>
      </w:pPr>
      <w:r>
        <w:t>Cette release correspond aux sections du chapitre 5. Elle traite les parcours métier qui complètent l’exploitation de la marketplace, depuis l’inscription des concessionnaires jusqu’au dépôt et au traitement des demandes de financement des clients.</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S6</w:t>
            </w:r>
          </w:p>
        </w:tc>
        <w:tc>
          <w:tcPr>
            <w:tcW w:type="dxa" w:w="2540"/>
            <w:vAlign w:val="center"/>
          </w:tcPr>
          <w:p>
            <w:pPr>
              <w:spacing w:after="40" w:before="0"/>
              <w:jc w:val="center"/>
            </w:pPr>
            <w:r>
              <w:rPr>
                <w:b/>
                <w:sz w:val="19"/>
              </w:rPr>
              <w:t>Inscription et validation du concessionnaire</w:t>
            </w:r>
          </w:p>
        </w:tc>
        <w:tc>
          <w:tcPr>
            <w:tcW w:type="dxa" w:w="5322"/>
            <w:vAlign w:val="center"/>
          </w:tcPr>
          <w:p>
            <w:pPr>
              <w:spacing w:after="40" w:before="0"/>
              <w:jc w:val="center"/>
            </w:pPr>
            <w:r>
              <w:rPr>
                <w:b/>
                <w:sz w:val="19"/>
              </w:rPr>
              <w:t>Demande d’inscription, dépôt des pièces justificatives, contrôle SaaS, création du compte et e-mail des identifiants.</w:t>
            </w:r>
          </w:p>
        </w:tc>
      </w:tr>
      <w:tr>
        <w:tc>
          <w:tcPr>
            <w:tcW w:type="dxa" w:w="1210"/>
            <w:vAlign w:val="center"/>
          </w:tcPr>
          <w:p>
            <w:pPr>
              <w:spacing w:after="40" w:before="0"/>
              <w:jc w:val="center"/>
            </w:pPr>
            <w:r>
              <w:rPr>
                <w:b/>
                <w:sz w:val="19"/>
              </w:rPr>
              <w:t>S7</w:t>
            </w:r>
          </w:p>
        </w:tc>
        <w:tc>
          <w:tcPr>
            <w:tcW w:type="dxa" w:w="2540"/>
            <w:vAlign w:val="center"/>
          </w:tcPr>
          <w:p>
            <w:pPr>
              <w:spacing w:after="40" w:before="0"/>
              <w:jc w:val="center"/>
            </w:pPr>
            <w:r>
              <w:rPr>
                <w:b/>
                <w:sz w:val="19"/>
              </w:rPr>
              <w:t>Partenariats et contrats</w:t>
            </w:r>
          </w:p>
        </w:tc>
        <w:tc>
          <w:tcPr>
            <w:tcW w:type="dxa" w:w="5322"/>
            <w:vAlign w:val="center"/>
          </w:tcPr>
          <w:p>
            <w:pPr>
              <w:spacing w:after="40" w:before="0"/>
              <w:jc w:val="center"/>
            </w:pPr>
            <w:r>
              <w:rPr>
                <w:b/>
                <w:sz w:val="19"/>
              </w:rPr>
              <w:t>Demandes initiées par la banque ou le concessionnaire, validation, cycle de vie du contrat et gestion des conditions de collaboration.</w:t>
            </w:r>
          </w:p>
        </w:tc>
      </w:tr>
      <w:tr>
        <w:tc>
          <w:tcPr>
            <w:tcW w:type="dxa" w:w="1210"/>
            <w:vAlign w:val="center"/>
          </w:tcPr>
          <w:p>
            <w:pPr>
              <w:spacing w:after="40" w:before="0"/>
              <w:jc w:val="center"/>
            </w:pPr>
            <w:r>
              <w:rPr>
                <w:b/>
                <w:sz w:val="19"/>
              </w:rPr>
              <w:t>S8</w:t>
            </w:r>
          </w:p>
        </w:tc>
        <w:tc>
          <w:tcPr>
            <w:tcW w:type="dxa" w:w="2540"/>
            <w:vAlign w:val="center"/>
          </w:tcPr>
          <w:p>
            <w:pPr>
              <w:spacing w:after="40" w:before="0"/>
              <w:jc w:val="center"/>
            </w:pPr>
            <w:r>
              <w:rPr>
                <w:b/>
                <w:sz w:val="19"/>
              </w:rPr>
              <w:t>Produits, publications et suivi des dossiers</w:t>
            </w:r>
          </w:p>
        </w:tc>
        <w:tc>
          <w:tcPr>
            <w:tcW w:type="dxa" w:w="5322"/>
            <w:vAlign w:val="center"/>
          </w:tcPr>
          <w:p>
            <w:pPr>
              <w:spacing w:after="40" w:before="0"/>
              <w:jc w:val="center"/>
            </w:pPr>
            <w:r>
              <w:rPr>
                <w:b/>
                <w:sz w:val="19"/>
              </w:rPr>
              <w:t>Catalogue centralisé, stock, publications par marketplace et consultation des demandes de financement associées aux produits.</w:t>
            </w:r>
          </w:p>
        </w:tc>
      </w:tr>
      <w:tr>
        <w:tc>
          <w:tcPr>
            <w:tcW w:type="dxa" w:w="1210"/>
            <w:vAlign w:val="center"/>
          </w:tcPr>
          <w:p>
            <w:pPr>
              <w:spacing w:after="40" w:before="0"/>
              <w:jc w:val="center"/>
            </w:pPr>
            <w:r>
              <w:rPr>
                <w:b/>
                <w:sz w:val="19"/>
              </w:rPr>
              <w:t>S9</w:t>
            </w:r>
          </w:p>
        </w:tc>
        <w:tc>
          <w:tcPr>
            <w:tcW w:type="dxa" w:w="2540"/>
            <w:vAlign w:val="center"/>
          </w:tcPr>
          <w:p>
            <w:pPr>
              <w:spacing w:after="40" w:before="0"/>
              <w:jc w:val="center"/>
            </w:pPr>
            <w:r>
              <w:rPr>
                <w:b/>
                <w:sz w:val="19"/>
              </w:rPr>
              <w:t>Parcours client et demande de financement</w:t>
            </w:r>
          </w:p>
        </w:tc>
        <w:tc>
          <w:tcPr>
            <w:tcW w:type="dxa" w:w="5322"/>
            <w:vAlign w:val="center"/>
          </w:tcPr>
          <w:p>
            <w:pPr>
              <w:spacing w:after="40" w:before="0"/>
              <w:jc w:val="center"/>
            </w:pPr>
            <w:r>
              <w:rPr>
                <w:b/>
                <w:sz w:val="19"/>
              </w:rPr>
              <w:t>Inscription et vérification du compte, consultation, comparaison, simulation, constitution et traitement du dossier.</w:t>
            </w:r>
          </w:p>
        </w:tc>
      </w:tr>
      <w:tr>
        <w:tc>
          <w:tcPr>
            <w:tcW w:type="dxa" w:w="1210"/>
            <w:vAlign w:val="center"/>
          </w:tcPr>
          <w:p>
            <w:pPr>
              <w:spacing w:after="40" w:before="0"/>
              <w:jc w:val="center"/>
            </w:pPr>
            <w:r>
              <w:rPr>
                <w:b/>
                <w:sz w:val="19"/>
              </w:rPr>
              <w:t>S10</w:t>
            </w:r>
          </w:p>
        </w:tc>
        <w:tc>
          <w:tcPr>
            <w:tcW w:type="dxa" w:w="2540"/>
            <w:vAlign w:val="center"/>
          </w:tcPr>
          <w:p>
            <w:pPr>
              <w:spacing w:after="40" w:before="0"/>
              <w:jc w:val="center"/>
            </w:pPr>
            <w:r>
              <w:rPr>
                <w:b/>
                <w:sz w:val="19"/>
              </w:rPr>
              <w:t>Assistants conversationnels et validation</w:t>
            </w:r>
          </w:p>
        </w:tc>
        <w:tc>
          <w:tcPr>
            <w:tcW w:type="dxa" w:w="5322"/>
            <w:vAlign w:val="center"/>
          </w:tcPr>
          <w:p>
            <w:pPr>
              <w:spacing w:after="40" w:before="0"/>
              <w:jc w:val="center"/>
            </w:pPr>
            <w:r>
              <w:rPr>
                <w:b/>
                <w:sz w:val="19"/>
              </w:rPr>
              <w:t>Assistant IA du SaaS, chatbot public à règles métier, contrôle des accès, tests et validation fonctionnelle globale.</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Correspondance entre les titres de réalisation et les sprints</w:t>
      </w:r>
    </w:p>
    <w:p>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type="auto" w:w="0"/>
        <w:tblLayout w:type="fixed"/>
        <w:tblLook w:firstColumn="1" w:firstRow="1" w:lastColumn="0" w:lastRow="0" w:noHBand="0" w:noVBand="1" w:val="04A0"/>
      </w:tblPr>
      <w:tblGrid>
        <w:gridCol w:w="3024"/>
        <w:gridCol w:w="3024"/>
        <w:gridCol w:w="3024"/>
      </w:tblGrid>
      <w:tr>
        <w:tc>
          <w:tcPr>
            <w:tcW w:type="dxa" w:w="1210"/>
            <w:vAlign w:val="center"/>
          </w:tcPr>
          <w:p>
            <w:pPr>
              <w:spacing w:after="40" w:before="0"/>
              <w:jc w:val="center"/>
            </w:pPr>
            <w:r>
              <w:rPr>
                <w:b/>
                <w:sz w:val="19"/>
              </w:rPr>
              <w:t>Titre ou sous-titre de réalisation</w:t>
            </w:r>
          </w:p>
        </w:tc>
        <w:tc>
          <w:tcPr>
            <w:tcW w:type="dxa" w:w="2540"/>
            <w:vAlign w:val="center"/>
          </w:tcPr>
          <w:p>
            <w:pPr>
              <w:spacing w:after="40" w:before="0"/>
              <w:jc w:val="center"/>
            </w:pPr>
            <w:r>
              <w:rPr>
                <w:b/>
                <w:sz w:val="19"/>
              </w:rPr>
              <w:t>Sprint</w:t>
            </w:r>
          </w:p>
        </w:tc>
        <w:tc>
          <w:tcPr>
            <w:tcW w:type="dxa" w:w="5322"/>
            <w:vAlign w:val="center"/>
          </w:tcPr>
          <w:p>
            <w:pPr>
              <w:spacing w:after="40" w:before="0"/>
              <w:jc w:val="center"/>
            </w:pPr>
            <w:r>
              <w:rPr>
                <w:b/>
                <w:sz w:val="19"/>
              </w:rPr>
              <w:t>Incrément fonctionnel livré</w:t>
            </w:r>
          </w:p>
        </w:tc>
      </w:tr>
      <w:tr>
        <w:tc>
          <w:tcPr>
            <w:tcW w:type="dxa" w:w="3024"/>
            <w:vAlign w:val="center"/>
          </w:tcPr>
          <w:p>
            <w:pPr>
              <w:spacing w:after="40" w:before="0"/>
              <w:jc w:val="left"/>
            </w:pPr>
            <w:r>
              <w:rPr>
                <w:b/>
                <w:sz w:val="19"/>
              </w:rPr>
              <w:t>Chapitre 4 — Socle applicatif SaaS et multi-tenance</w:t>
            </w:r>
          </w:p>
        </w:tc>
        <w:tc>
          <w:tcPr>
            <w:tcW w:type="dxa" w:w="3024"/>
            <w:vAlign w:val="center"/>
          </w:tcPr>
          <w:p>
            <w:pPr>
              <w:spacing w:after="40" w:before="0"/>
              <w:jc w:val="center"/>
            </w:pPr>
            <w:r>
              <w:rPr>
                <w:b/>
                <w:sz w:val="19"/>
              </w:rPr>
              <w:t>S1</w:t>
            </w:r>
          </w:p>
        </w:tc>
        <w:tc>
          <w:tcPr>
            <w:tcW w:type="dxa" w:w="3024"/>
            <w:vAlign w:val="center"/>
          </w:tcPr>
          <w:p>
            <w:pPr>
              <w:spacing w:after="40" w:before="0"/>
              <w:jc w:val="left"/>
            </w:pPr>
            <w:r>
              <w:rPr>
                <w:b/>
                <w:sz w:val="19"/>
              </w:rPr>
              <w:t>Services communs, sécurité et cloisonnement des tenants.</w:t>
            </w:r>
          </w:p>
        </w:tc>
      </w:tr>
      <w:tr>
        <w:tc>
          <w:tcPr>
            <w:tcW w:type="dxa" w:w="3024"/>
            <w:vAlign w:val="center"/>
          </w:tcPr>
          <w:p>
            <w:pPr>
              <w:spacing w:after="40" w:before="0"/>
              <w:jc w:val="left"/>
            </w:pPr>
            <w:r>
              <w:rPr>
                <w:b/>
                <w:sz w:val="19"/>
              </w:rPr>
              <w:t>Chapitre 4 — Demande de création de marketplace</w:t>
            </w:r>
          </w:p>
        </w:tc>
        <w:tc>
          <w:tcPr>
            <w:tcW w:type="dxa" w:w="3024"/>
            <w:vAlign w:val="center"/>
          </w:tcPr>
          <w:p>
            <w:pPr>
              <w:spacing w:after="40" w:before="0"/>
              <w:jc w:val="center"/>
            </w:pPr>
            <w:r>
              <w:rPr>
                <w:b/>
                <w:sz w:val="19"/>
              </w:rPr>
              <w:t>S2</w:t>
            </w:r>
          </w:p>
        </w:tc>
        <w:tc>
          <w:tcPr>
            <w:tcW w:type="dxa" w:w="3024"/>
            <w:vAlign w:val="center"/>
          </w:tcPr>
          <w:p>
            <w:pPr>
              <w:spacing w:after="40" w:before="0"/>
              <w:jc w:val="left"/>
            </w:pPr>
            <w:r>
              <w:rPr>
                <w:b/>
                <w:sz w:val="19"/>
              </w:rPr>
              <w:t>Parcours de souscription de la banque jusqu’à la soumission.</w:t>
            </w:r>
          </w:p>
        </w:tc>
      </w:tr>
      <w:tr>
        <w:tc>
          <w:tcPr>
            <w:tcW w:type="dxa" w:w="3024"/>
            <w:vAlign w:val="center"/>
          </w:tcPr>
          <w:p>
            <w:pPr>
              <w:spacing w:after="40" w:before="0"/>
              <w:jc w:val="left"/>
            </w:pPr>
            <w:r>
              <w:rPr>
                <w:b/>
                <w:sz w:val="19"/>
              </w:rPr>
              <w:t>Chapitre 4 — Back-office SaaS</w:t>
            </w:r>
          </w:p>
        </w:tc>
        <w:tc>
          <w:tcPr>
            <w:tcW w:type="dxa" w:w="3024"/>
            <w:vAlign w:val="center"/>
          </w:tcPr>
          <w:p>
            <w:pPr>
              <w:spacing w:after="40" w:before="0"/>
              <w:jc w:val="center"/>
            </w:pPr>
            <w:r>
              <w:rPr>
                <w:b/>
                <w:sz w:val="19"/>
              </w:rPr>
              <w:t>S3</w:t>
            </w:r>
          </w:p>
        </w:tc>
        <w:tc>
          <w:tcPr>
            <w:tcW w:type="dxa" w:w="3024"/>
            <w:vAlign w:val="center"/>
          </w:tcPr>
          <w:p>
            <w:pPr>
              <w:spacing w:after="40" w:before="0"/>
              <w:jc w:val="left"/>
            </w:pPr>
            <w:r>
              <w:rPr>
                <w:b/>
                <w:sz w:val="19"/>
              </w:rPr>
              <w:t>Fonctions d’administration et de supervision de la plateforme.</w:t>
            </w:r>
          </w:p>
        </w:tc>
      </w:tr>
      <w:tr>
        <w:tc>
          <w:tcPr>
            <w:tcW w:type="dxa" w:w="3024"/>
            <w:vAlign w:val="center"/>
          </w:tcPr>
          <w:p>
            <w:pPr>
              <w:spacing w:after="40" w:before="0"/>
              <w:jc w:val="left"/>
            </w:pPr>
            <w:r>
              <w:rPr>
                <w:b/>
                <w:sz w:val="19"/>
              </w:rPr>
              <w:t>Chapitre 4 — Traitement, approbation et paiement</w:t>
            </w:r>
          </w:p>
        </w:tc>
        <w:tc>
          <w:tcPr>
            <w:tcW w:type="dxa" w:w="3024"/>
            <w:vAlign w:val="center"/>
          </w:tcPr>
          <w:p>
            <w:pPr>
              <w:spacing w:after="40" w:before="0"/>
              <w:jc w:val="center"/>
            </w:pPr>
            <w:r>
              <w:rPr>
                <w:b/>
                <w:sz w:val="19"/>
              </w:rPr>
              <w:t>S4</w:t>
            </w:r>
          </w:p>
        </w:tc>
        <w:tc>
          <w:tcPr>
            <w:tcW w:type="dxa" w:w="3024"/>
            <w:vAlign w:val="center"/>
          </w:tcPr>
          <w:p>
            <w:pPr>
              <w:spacing w:after="40" w:before="0"/>
              <w:jc w:val="left"/>
            </w:pPr>
            <w:r>
              <w:rPr>
                <w:b/>
                <w:sz w:val="19"/>
              </w:rPr>
              <w:t>Décision SaaS, paiement Stripe et activation après règlement.</w:t>
            </w:r>
          </w:p>
        </w:tc>
      </w:tr>
      <w:tr>
        <w:tc>
          <w:tcPr>
            <w:tcW w:type="dxa" w:w="3024"/>
            <w:vAlign w:val="center"/>
          </w:tcPr>
          <w:p>
            <w:pPr>
              <w:spacing w:after="40" w:before="0"/>
              <w:jc w:val="left"/>
            </w:pPr>
            <w:r>
              <w:rPr>
                <w:b/>
                <w:sz w:val="19"/>
              </w:rPr>
              <w:t>Chapitre 4 — Back-office Banque et marketplace publique</w:t>
            </w:r>
          </w:p>
        </w:tc>
        <w:tc>
          <w:tcPr>
            <w:tcW w:type="dxa" w:w="3024"/>
            <w:vAlign w:val="center"/>
          </w:tcPr>
          <w:p>
            <w:pPr>
              <w:spacing w:after="40" w:before="0"/>
              <w:jc w:val="center"/>
            </w:pPr>
            <w:r>
              <w:rPr>
                <w:b/>
                <w:sz w:val="19"/>
              </w:rPr>
              <w:t>S5</w:t>
            </w:r>
          </w:p>
        </w:tc>
        <w:tc>
          <w:tcPr>
            <w:tcW w:type="dxa" w:w="3024"/>
            <w:vAlign w:val="center"/>
          </w:tcPr>
          <w:p>
            <w:pPr>
              <w:spacing w:after="40" w:before="0"/>
              <w:jc w:val="left"/>
            </w:pPr>
            <w:r>
              <w:rPr>
                <w:b/>
                <w:sz w:val="19"/>
              </w:rPr>
              <w:t>Configuration bancaire et consultation des services publics.</w:t>
            </w:r>
          </w:p>
        </w:tc>
      </w:tr>
      <w:tr>
        <w:tc>
          <w:tcPr>
            <w:tcW w:type="dxa" w:w="3024"/>
            <w:vAlign w:val="center"/>
          </w:tcPr>
          <w:p>
            <w:pPr>
              <w:spacing w:after="40" w:before="0"/>
              <w:jc w:val="left"/>
            </w:pPr>
            <w:r>
              <w:rPr>
                <w:b/>
                <w:sz w:val="19"/>
              </w:rPr>
              <w:t>Chapitre 5 — Inscription et validation du concessionnaire</w:t>
            </w:r>
          </w:p>
        </w:tc>
        <w:tc>
          <w:tcPr>
            <w:tcW w:type="dxa" w:w="3024"/>
            <w:vAlign w:val="center"/>
          </w:tcPr>
          <w:p>
            <w:pPr>
              <w:spacing w:after="40" w:before="0"/>
              <w:jc w:val="center"/>
            </w:pPr>
            <w:r>
              <w:rPr>
                <w:b/>
                <w:sz w:val="19"/>
              </w:rPr>
              <w:t>S6</w:t>
            </w:r>
          </w:p>
        </w:tc>
        <w:tc>
          <w:tcPr>
            <w:tcW w:type="dxa" w:w="3024"/>
            <w:vAlign w:val="center"/>
          </w:tcPr>
          <w:p>
            <w:pPr>
              <w:spacing w:after="40" w:before="0"/>
              <w:jc w:val="left"/>
            </w:pPr>
            <w:r>
              <w:rPr>
                <w:b/>
                <w:sz w:val="19"/>
              </w:rPr>
              <w:t>Onboarding contrôlé du concessionnaire.</w:t>
            </w:r>
          </w:p>
        </w:tc>
      </w:tr>
      <w:tr>
        <w:tc>
          <w:tcPr>
            <w:tcW w:type="dxa" w:w="3024"/>
            <w:vAlign w:val="center"/>
          </w:tcPr>
          <w:p>
            <w:pPr>
              <w:spacing w:after="40" w:before="0"/>
              <w:jc w:val="left"/>
            </w:pPr>
            <w:r>
              <w:rPr>
                <w:b/>
                <w:sz w:val="19"/>
              </w:rPr>
              <w:t>Chapitre 5 — Partenariats et contrats</w:t>
            </w:r>
          </w:p>
        </w:tc>
        <w:tc>
          <w:tcPr>
            <w:tcW w:type="dxa" w:w="3024"/>
            <w:vAlign w:val="center"/>
          </w:tcPr>
          <w:p>
            <w:pPr>
              <w:spacing w:after="40" w:before="0"/>
              <w:jc w:val="center"/>
            </w:pPr>
            <w:r>
              <w:rPr>
                <w:b/>
                <w:sz w:val="19"/>
              </w:rPr>
              <w:t>S7</w:t>
            </w:r>
          </w:p>
        </w:tc>
        <w:tc>
          <w:tcPr>
            <w:tcW w:type="dxa" w:w="3024"/>
            <w:vAlign w:val="center"/>
          </w:tcPr>
          <w:p>
            <w:pPr>
              <w:spacing w:after="40" w:before="0"/>
              <w:jc w:val="left"/>
            </w:pPr>
            <w:r>
              <w:rPr>
                <w:b/>
                <w:sz w:val="19"/>
              </w:rPr>
              <w:t>Collaboration banque-concessionnaire et contractualisation.</w:t>
            </w:r>
          </w:p>
        </w:tc>
      </w:tr>
      <w:tr>
        <w:tc>
          <w:tcPr>
            <w:tcW w:type="dxa" w:w="3024"/>
            <w:vAlign w:val="center"/>
          </w:tcPr>
          <w:p>
            <w:pPr>
              <w:spacing w:after="40" w:before="0"/>
              <w:jc w:val="left"/>
            </w:pPr>
            <w:r>
              <w:rPr>
                <w:b/>
                <w:sz w:val="19"/>
              </w:rPr>
              <w:t>Chapitre 5 — Produits, publications et suivi des demandes</w:t>
            </w:r>
          </w:p>
        </w:tc>
        <w:tc>
          <w:tcPr>
            <w:tcW w:type="dxa" w:w="3024"/>
            <w:vAlign w:val="center"/>
          </w:tcPr>
          <w:p>
            <w:pPr>
              <w:spacing w:after="40" w:before="0"/>
              <w:jc w:val="center"/>
            </w:pPr>
            <w:r>
              <w:rPr>
                <w:b/>
                <w:sz w:val="19"/>
              </w:rPr>
              <w:t>S8</w:t>
            </w:r>
          </w:p>
        </w:tc>
        <w:tc>
          <w:tcPr>
            <w:tcW w:type="dxa" w:w="3024"/>
            <w:vAlign w:val="center"/>
          </w:tcPr>
          <w:p>
            <w:pPr>
              <w:spacing w:after="40" w:before="0"/>
              <w:jc w:val="left"/>
            </w:pPr>
            <w:r>
              <w:rPr>
                <w:b/>
                <w:sz w:val="19"/>
              </w:rPr>
              <w:t>Gestion centralisée du catalogue et des dossiers liés aux produits.</w:t>
            </w:r>
          </w:p>
        </w:tc>
      </w:tr>
      <w:tr>
        <w:tc>
          <w:tcPr>
            <w:tcW w:type="dxa" w:w="3024"/>
            <w:vAlign w:val="center"/>
          </w:tcPr>
          <w:p>
            <w:pPr>
              <w:spacing w:after="40" w:before="0"/>
              <w:jc w:val="left"/>
            </w:pPr>
            <w:r>
              <w:rPr>
                <w:b/>
                <w:sz w:val="19"/>
              </w:rPr>
              <w:t>Chapitre 5 — Parcours client et demande de financement</w:t>
            </w:r>
          </w:p>
        </w:tc>
        <w:tc>
          <w:tcPr>
            <w:tcW w:type="dxa" w:w="3024"/>
            <w:vAlign w:val="center"/>
          </w:tcPr>
          <w:p>
            <w:pPr>
              <w:spacing w:after="40" w:before="0"/>
              <w:jc w:val="center"/>
            </w:pPr>
            <w:r>
              <w:rPr>
                <w:b/>
                <w:sz w:val="19"/>
              </w:rPr>
              <w:t>S9</w:t>
            </w:r>
          </w:p>
        </w:tc>
        <w:tc>
          <w:tcPr>
            <w:tcW w:type="dxa" w:w="3024"/>
            <w:vAlign w:val="center"/>
          </w:tcPr>
          <w:p>
            <w:pPr>
              <w:spacing w:after="40" w:before="0"/>
              <w:jc w:val="left"/>
            </w:pPr>
            <w:r>
              <w:rPr>
                <w:b/>
                <w:sz w:val="19"/>
              </w:rPr>
              <w:t>Du compte client jusqu’à la décision bancaire sur le dossier.</w:t>
            </w:r>
          </w:p>
        </w:tc>
      </w:tr>
      <w:tr>
        <w:tc>
          <w:tcPr>
            <w:tcW w:type="dxa" w:w="3024"/>
            <w:vAlign w:val="center"/>
          </w:tcPr>
          <w:p>
            <w:pPr>
              <w:spacing w:after="40" w:before="0"/>
              <w:jc w:val="left"/>
            </w:pPr>
            <w:r>
              <w:rPr>
                <w:b/>
                <w:sz w:val="19"/>
              </w:rPr>
              <w:t>Chapitre 5 — Assistants conversationnels</w:t>
            </w:r>
          </w:p>
        </w:tc>
        <w:tc>
          <w:tcPr>
            <w:tcW w:type="dxa" w:w="3024"/>
            <w:vAlign w:val="center"/>
          </w:tcPr>
          <w:p>
            <w:pPr>
              <w:spacing w:after="40" w:before="0"/>
              <w:jc w:val="center"/>
            </w:pPr>
            <w:r>
              <w:rPr>
                <w:b/>
                <w:sz w:val="19"/>
              </w:rPr>
              <w:t>S10</w:t>
            </w:r>
          </w:p>
        </w:tc>
        <w:tc>
          <w:tcPr>
            <w:tcW w:type="dxa" w:w="3024"/>
            <w:vAlign w:val="center"/>
          </w:tcPr>
          <w:p>
            <w:pPr>
              <w:spacing w:after="40" w:before="0"/>
              <w:jc w:val="left"/>
            </w:pPr>
            <w:r>
              <w:rPr>
                <w:b/>
                <w:sz w:val="19"/>
              </w:rPr>
              <w:t>Assistant IA du SaaS, chatbot public et validation finale.</w:t>
            </w:r>
          </w:p>
        </w:tc>
      </w:tr>
    </w:tbl>
    <w:p>
      <w:pPr>
        <w:pStyle w:val="gjcqjg1a"/>
        <w:spacing w:line="360" w:lineRule="auto"/>
        <w:jc w:val="both"/>
      </w:pPr>
      <w:r>
        <w:t>À l’issue de chaque sprint, les fonctionnalités réalisées font l’objet de tests techniques et fonctionnels avant leur présentation en Sprint Review. Les retours recueillis permettent d’ajuster 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une démarche de livraison et de déploiement a été mise en place afin que chaque nouvelle version puisse être construite, vérifiée et déployée de manière reproductible. L’objectif ne se limite pas à rendre l’application accessible dans le Cloud : il consiste également à automatiser les contrôles qui précèdent la mise en production.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distribution des images et Microsoft Azure pour l’hébergement. Azure CLI permet enfin au pipeline d’appliquer les mises à jour sur les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dans Microsoft Azure.</w:t>
      </w:r>
    </w:p>
    <w:p>
      <w:pPr>
        <w:keepNext/>
        <w:jc w:val="center"/>
      </w:pPr>
      <w:r>
        <w:drawing>
          <wp:inline xmlns:a="http://schemas.openxmlformats.org/drawingml/2006/main" xmlns:pic="http://schemas.openxmlformats.org/drawingml/2006/picture">
            <wp:extent cx="5349240" cy="3164967"/>
            <wp:docPr id="31" name="Picture 31"/>
            <wp:cNvGraphicFramePr>
              <a:graphicFrameLocks noChangeAspect="1"/>
            </wp:cNvGraphicFramePr>
            <a:graphic>
              <a:graphicData uri="http://schemas.openxmlformats.org/drawingml/2006/picture">
                <pic:pic>
                  <pic:nvPicPr>
                    <pic:cNvPr id="0" name="fig_6_1_cicd_pipeline.png"/>
                    <pic:cNvPicPr/>
                  </pic:nvPicPr>
                  <pic:blipFill>
                    <a:blip r:embed="rId38"/>
                    <a:stretch>
                      <a:fillRect/>
                    </a:stretch>
                  </pic:blipFill>
                  <pic:spPr>
                    <a:xfrm>
                      <a:off x="0" y="0"/>
                      <a:ext cx="5349240" cy="316496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afin d’améliorer la collaboration, la qualité des livraisons et la fiabilité des déploiements. Dans ce projet, il se traduit par un processus automatisé qui enchaîne la construction, les tests, l’analyse du code, la création d’images Docker et le déploiement des versions validées.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construisant les images Docker, en les publiant dans un registre puis en mettant à jour les services Azure. Une étape critique en échec interrompt le pipeline et empêche le déploiement d’une version non validée.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Préparation et validation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manuellement. Cette phase a permis de vérifier les Dockerfiles, les variables d’environnement, les ports exposés et la communication entre les services avant de confier leur enchaînement à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Gestion des versions avec Git et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local des évolutions du projet tandis que GitHub centralise le dépôt distant. Le dépôt rassemble le backend Spring Boot, le frontend React, le fichier docker-compose.yml et le Jenkinsfile. Il devient ainsi le point d’entrée du pipeline : un push sur la branche suivie par Jenkins déclenche la récupération de la nouvelle version du 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pPr>
        <w:keepNext/>
        <w:jc w:val="center"/>
      </w:pPr>
      <w:r>
        <w:drawing>
          <wp:inline xmlns:a="http://schemas.openxmlformats.org/drawingml/2006/main" xmlns:pic="http://schemas.openxmlformats.org/drawingml/2006/picture">
            <wp:extent cx="5349240" cy="2823210"/>
            <wp:docPr id="32" name="Picture 32"/>
            <wp:cNvGraphicFramePr>
              <a:graphicFrameLocks noChangeAspect="1"/>
            </wp:cNvGraphicFramePr>
            <a:graphic>
              <a:graphicData uri="http://schemas.openxmlformats.org/drawingml/2006/picture">
                <pic:pic>
                  <pic:nvPicPr>
                    <pic:cNvPr id="0" name="fig_6_2_organisation_depot.png"/>
                    <pic:cNvPicPr/>
                  </pic:nvPicPr>
                  <pic:blipFill>
                    <a:blip r:embed="rId39"/>
                    <a:stretch>
                      <a:fillRect/>
                    </a:stretch>
                  </pic:blipFill>
                  <pic:spPr>
                    <a:xfrm>
                      <a:off x="0" y="0"/>
                      <a:ext cx="5349240" cy="282321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Organisation du dépôt GitHub de la plateforme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image Java d’exécution plus légère ne conserve que le fichier JAR produit. Le service expose l’API REST sur le port 8081. L’image a été construite et exécutée manuellement lors de la phase initiale afin de valider le démarrage de l’API avant son intégration au pipeline.</w:t>
      </w:r>
    </w:p>
    <w:p>
      <w:pPr>
        <w:keepNext/>
        <w:jc w:val="center"/>
      </w:pPr>
      <w:r>
        <w:drawing>
          <wp:inline xmlns:a="http://schemas.openxmlformats.org/drawingml/2006/main" xmlns:pic="http://schemas.openxmlformats.org/drawingml/2006/picture">
            <wp:extent cx="3886200" cy="3857937"/>
            <wp:docPr id="33" name="Picture 33"/>
            <wp:cNvGraphicFramePr>
              <a:graphicFrameLocks noChangeAspect="1"/>
            </wp:cNvGraphicFramePr>
            <a:graphic>
              <a:graphicData uri="http://schemas.openxmlformats.org/drawingml/2006/picture">
                <pic:pic>
                  <pic:nvPicPr>
                    <pic:cNvPr id="0" name="imageBackend.png"/>
                    <pic:cNvPicPr/>
                  </pic:nvPicPr>
                  <pic:blipFill>
                    <a:blip r:embed="rId40"/>
                    <a:stretch>
                      <a:fillRect/>
                    </a:stretch>
                  </pic:blipFill>
                  <pic:spPr>
                    <a:xfrm>
                      <a:off x="0" y="0"/>
                      <a:ext cx="3886200" cy="3857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les fichiers statiques de production ; ceux-ci sont ensuite servis par Nginx. La variable VITE_API_URL est fournie au moment du build afin d’associer le frontend à l’URL du backend correspondant à l’environnement cible. La construction et l’exécution de cette image ont été vérifiées manuellement avant leur automatisation.</w:t>
      </w:r>
    </w:p>
    <w:p>
      <w:pPr>
        <w:keepNext/>
        <w:jc w:val="center"/>
      </w:pPr>
      <w:r>
        <w:drawing>
          <wp:inline xmlns:a="http://schemas.openxmlformats.org/drawingml/2006/main" xmlns:pic="http://schemas.openxmlformats.org/drawingml/2006/picture">
            <wp:extent cx="5349240" cy="3256484"/>
            <wp:docPr id="34" name="Picture 34"/>
            <wp:cNvGraphicFramePr>
              <a:graphicFrameLocks noChangeAspect="1"/>
            </wp:cNvGraphicFramePr>
            <a:graphic>
              <a:graphicData uri="http://schemas.openxmlformats.org/drawingml/2006/picture">
                <pic:pic>
                  <pic:nvPicPr>
                    <pic:cNvPr id="0" name="imageFrontend.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ports exposés, les variables d’environnement, le volume des fichiers téléversés et le réseau de communication. La commande docker compose up -d permet de démarrer un environnement local cohérent. Cette exécution manuelle a permis de vérifier que les deux conteneurs communiquent correctement et que l’application est fonctionnelle avant l’automatisation de la chaîne CI/CD.</w:t>
      </w:r>
    </w:p>
    <w:p>
      <w:pPr>
        <w:keepNext/>
        <w:jc w:val="center"/>
      </w:pPr>
      <w:r>
        <w:drawing>
          <wp:inline xmlns:a="http://schemas.openxmlformats.org/drawingml/2006/main" xmlns:pic="http://schemas.openxmlformats.org/drawingml/2006/picture">
            <wp:extent cx="3886200" cy="4083088"/>
            <wp:docPr id="35" name="Picture 35"/>
            <wp:cNvGraphicFramePr>
              <a:graphicFrameLocks noChangeAspect="1"/>
            </wp:cNvGraphicFramePr>
            <a:graphic>
              <a:graphicData uri="http://schemas.openxmlformats.org/drawingml/2006/picture">
                <pic:pic>
                  <pic:nvPicPr>
                    <pic:cNvPr id="0" name="dockercompose.png"/>
                    <pic:cNvPicPr/>
                  </pic:nvPicPr>
                  <pic:blipFill>
                    <a:blip r:embed="rId42"/>
                    <a:stretch>
                      <a:fillRect/>
                    </a:stretch>
                  </pic:blipFill>
                  <pic:spPr>
                    <a:xfrm>
                      <a:off x="0" y="0"/>
                      <a:ext cx="3886200" cy="408308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Mise en place du pipeline CI/CD avec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 les étapes de construction et de conteneurisation validées, Jenkins a été configuré pour les enchaîner automatiquement. Le pipeline reprend donc un processus déjà testé, en garantissant qu’il est exécuté de manière identique à chaque nouvelle version du code.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le composant central de la chaîne CI/CD. Exécuté dans un conteneur Docker, il récupère le code depuis GitHub et coordonne les outils nécessaires au pipeline : Maven, Node.js, Docker, SonarQube, Docker Hub et Azure CLI. Les accès aux services externes sont gérés à l’aide de credentials configurés dans Jenkins, afin de ne pas intégrer les informations d’authentification dans le dépôt source.</w:t>
      </w:r>
    </w:p>
    <w:p>
      <w:pPr>
        <w:keepNext/>
        <w:jc w:val="center"/>
      </w:pPr>
      <w:r>
        <w:drawing>
          <wp:inline xmlns:a="http://schemas.openxmlformats.org/drawingml/2006/main" xmlns:pic="http://schemas.openxmlformats.org/drawingml/2006/picture">
            <wp:extent cx="5349240" cy="3009236"/>
            <wp:docPr id="36" name="Picture 36"/>
            <wp:cNvGraphicFramePr>
              <a:graphicFrameLocks noChangeAspect="1"/>
            </wp:cNvGraphicFramePr>
            <a:graphic>
              <a:graphicData uri="http://schemas.openxmlformats.org/drawingml/2006/picture">
                <pic:pic>
                  <pic:nvPicPr>
                    <pic:cNvPr id="0" name="jenkins.png"/>
                    <pic:cNvPicPr/>
                  </pic:nvPicPr>
                  <pic:blipFill>
                    <a:blip r:embed="rId43"/>
                    <a:stretch>
                      <a:fillRect/>
                    </a:stretch>
                  </pic:blipFill>
                  <pic:spPr>
                    <a:xfrm>
                      <a:off x="0" y="0"/>
                      <a:ext cx="5349240" cy="3009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Pipeline as Code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 Le pipeline comporte les étapes Checkout, Build Backend, Build Frontend, Tests Backend, analyses SonarQube, Docker Build, publication des images puis déploiements du backend et du frontend sur Azure.</w:t>
      </w:r>
    </w:p>
    <w:p>
      <w:pPr>
        <w:keepNext/>
        <w:jc w:val="center"/>
      </w:pPr>
      <w:r>
        <w:drawing>
          <wp:inline xmlns:a="http://schemas.openxmlformats.org/drawingml/2006/main" xmlns:pic="http://schemas.openxmlformats.org/drawingml/2006/picture">
            <wp:extent cx="5349240" cy="2784652"/>
            <wp:docPr id="37" name="Picture 37"/>
            <wp:cNvGraphicFramePr>
              <a:graphicFrameLocks noChangeAspect="1"/>
            </wp:cNvGraphicFramePr>
            <a:graphic>
              <a:graphicData uri="http://schemas.openxmlformats.org/drawingml/2006/picture">
                <pic:pic>
                  <pic:nvPicPr>
                    <pic:cNvPr id="0" name="CréationPipelin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 dans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Déclenchement automatique avec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démarrer automatiquement le pipeline. Ce mécanisme évite le lancement manuel d’un build après chaque modification.</w:t>
      </w:r>
    </w:p>
    <w:p>
      <w:pPr>
        <w:keepNext/>
        <w:jc w:val="center"/>
      </w:pPr>
      <w:r>
        <w:drawing>
          <wp:inline xmlns:a="http://schemas.openxmlformats.org/drawingml/2006/main" xmlns:pic="http://schemas.openxmlformats.org/drawingml/2006/picture">
            <wp:extent cx="5349240" cy="2991185"/>
            <wp:docPr id="38" name="Picture 38"/>
            <wp:cNvGraphicFramePr>
              <a:graphicFrameLocks noChangeAspect="1"/>
            </wp:cNvGraphicFramePr>
            <a:graphic>
              <a:graphicData uri="http://schemas.openxmlformats.org/drawingml/2006/picture">
                <pic:pic>
                  <pic:nvPicPr>
                    <pic:cNvPr id="0" name="ConfigWebhookSurGithub.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adresse localhost n’était pas accessible depuis GitHub. Un Cloudflare Tunnel a donc été utilisé pour exposer temporairement le serveur Jenkins par une adresse HTTPS publique et rediriger les événements vers l’instance locale.</w:t>
      </w:r>
    </w:p>
    <w:p>
      <w:pPr>
        <w:keepNext/>
        <w:jc w:val="center"/>
      </w:pPr>
      <w:r>
        <w:drawing>
          <wp:inline xmlns:a="http://schemas.openxmlformats.org/drawingml/2006/main" xmlns:pic="http://schemas.openxmlformats.org/drawingml/2006/picture">
            <wp:extent cx="5349240" cy="2563236"/>
            <wp:docPr id="39" name="Picture 39"/>
            <wp:cNvGraphicFramePr>
              <a:graphicFrameLocks noChangeAspect="1"/>
            </wp:cNvGraphicFramePr>
            <a:graphic>
              <a:graphicData uri="http://schemas.openxmlformats.org/drawingml/2006/picture">
                <pic:pic>
                  <pic:nvPicPr>
                    <pic:cNvPr id="0" name="CréationTunnelCloudflareTempVersJenkins.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Exécution automatisée du pipeline CI/CD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déclenché à chaque push reçu depuis GitHub. Il applique ensuite, dans un ordre contrôlé, les étapes suivantes : récupération du code, construction du backend et du frontend, exécution des tests, analyse de qualité, création des images Docker, publication dans Docker Hub et déploiement des nouvelles versions sur Microsoft Azure. En cas d’échec d’une étape critique, les étapes suivantes ne sont pas exécutées.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Récupération du code et construction des applications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checkout, Jenkins construit le backend avec Maven puis le frontend avec Node.js et npm. Le backend est préparé avec la commande Maven de construction définie dans le Jenkinsfile ; le frontend exécute npm ci puis npm run build. Lors du build de production, VITE_API_URL reçoit l’adresse publique du backend Azure afin que le frontend déployé communique avec l’API cible.</w:t>
      </w:r>
    </w:p>
    <w:p>
      <w:pPr>
        <w:keepNext/>
        <w:jc w:val="center"/>
      </w:pPr>
      <w:r>
        <w:drawing>
          <wp:inline xmlns:a="http://schemas.openxmlformats.org/drawingml/2006/main" xmlns:pic="http://schemas.openxmlformats.org/drawingml/2006/picture">
            <wp:extent cx="5349240" cy="3201653"/>
            <wp:docPr id="40" name="Picture 40"/>
            <wp:cNvGraphicFramePr>
              <a:graphicFrameLocks noChangeAspect="1"/>
            </wp:cNvGraphicFramePr>
            <a:graphic>
              <a:graphicData uri="http://schemas.openxmlformats.org/drawingml/2006/picture">
                <pic:pic>
                  <pic:nvPicPr>
                    <pic:cNvPr id="0" name="CommandeBackend.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 le pipeline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Exécution automatique des tests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sont exécutés avant la création des images Docker. Ils constituent une barrière de qualité : si l’exécution échoue, Jenkins interrompt le pipeline et les opérations de publication et de déploiement ne sont pas réalisées. Les rapports de couverture générés avec JaCoCo sont également utilisables lors de l’analyse SonarQube.</w:t>
      </w:r>
    </w:p>
    <w:p>
      <w:pPr>
        <w:keepNext/>
        <w:jc w:val="center"/>
      </w:pPr>
      <w:r>
        <w:drawing>
          <wp:inline xmlns:a="http://schemas.openxmlformats.org/drawingml/2006/main" xmlns:pic="http://schemas.openxmlformats.org/drawingml/2006/picture">
            <wp:extent cx="5349240" cy="3178045"/>
            <wp:docPr id="41" name="Picture 41"/>
            <wp:cNvGraphicFramePr>
              <a:graphicFrameLocks noChangeAspect="1"/>
            </wp:cNvGraphicFramePr>
            <a:graphic>
              <a:graphicData uri="http://schemas.openxmlformats.org/drawingml/2006/picture">
                <pic:pic>
                  <pic:nvPicPr>
                    <pic:cNvPr id="0" name="testBackend.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Analyse statique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 aide à détecter les défauts qui ne sont pas nécessairement révélés par les tests fonctionnels.</w:t>
      </w:r>
    </w:p>
    <w:p>
      <w:pPr>
        <w:keepNext/>
        <w:jc w:val="center"/>
      </w:pPr>
      <w:r>
        <w:drawing>
          <wp:inline xmlns:a="http://schemas.openxmlformats.org/drawingml/2006/main" xmlns:pic="http://schemas.openxmlformats.org/drawingml/2006/picture">
            <wp:extent cx="5349240" cy="3105920"/>
            <wp:docPr id="42" name="Picture 42"/>
            <wp:cNvGraphicFramePr>
              <a:graphicFrameLocks noChangeAspect="1"/>
            </wp:cNvGraphicFramePr>
            <a:graphic>
              <a:graphicData uri="http://schemas.openxmlformats.org/drawingml/2006/picture">
                <pic:pic>
                  <pic:nvPicPr>
                    <pic:cNvPr id="0" name="SonarQubeProjects.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l’analyse de qualité, Jenkins utilise les Dockerfiles du projet pour construire une image dédiée au backend et une autre au frontend. Les images sont étiquetées avec le numéro du build Jenkins et avec le tag latest, ce qui assure la traçabilité entre une exécution du pipeline et l’artefact produit.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récupérer la version à déployer.</w:t>
      </w:r>
    </w:p>
    <w:p>
      <w:pPr>
        <w:keepNext/>
        <w:jc w:val="center"/>
      </w:pPr>
      <w:r>
        <w:drawing>
          <wp:inline xmlns:a="http://schemas.openxmlformats.org/drawingml/2006/main" xmlns:pic="http://schemas.openxmlformats.org/drawingml/2006/picture">
            <wp:extent cx="5349240" cy="2988951"/>
            <wp:docPr id="43" name="Picture 43"/>
            <wp:cNvGraphicFramePr>
              <a:graphicFrameLocks noChangeAspect="1"/>
            </wp:cNvGraphicFramePr>
            <a:graphic>
              <a:graphicData uri="http://schemas.openxmlformats.org/drawingml/2006/picture">
                <pic:pic>
                  <pic:nvPicPr>
                    <pic:cNvPr id="0" name="créationRepoDockerHub.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Préparation de l’environnement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a été retenu afin d’héberger les composants de la plateforme dans un environnement Cloud. L’architecture répartit les responsabilités entre Azure Container Apps pour les conteneurs applicatifs, Azure Database for PostgreSQL pour les données métier et Azure Files pour les fichiers persistants. Cette séparation préserve les données et les fichiers lors du remplacement d’une révision de conteneur.</w:t>
      </w:r>
    </w:p>
    <w:p>
      <w:pPr>
        <w:keepNext/>
        <w:jc w:val="center"/>
      </w:pPr>
      <w:r>
        <w:drawing>
          <wp:inline xmlns:a="http://schemas.openxmlformats.org/drawingml/2006/main" xmlns:pic="http://schemas.openxmlformats.org/drawingml/2006/picture">
            <wp:extent cx="5349240" cy="4265462"/>
            <wp:docPr id="44" name="Picture 44"/>
            <wp:cNvGraphicFramePr>
              <a:graphicFrameLocks noChangeAspect="1"/>
            </wp:cNvGraphicFramePr>
            <a:graphic>
              <a:graphicData uri="http://schemas.openxmlformats.org/drawingml/2006/picture">
                <pic:pic>
                  <pic:nvPicPr>
                    <pic:cNvPr id="0" name="azur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Base de données PostgreSQL managée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dans Azure Database for PostgreSQL Flexible Server. Le backend y accède au moyen d’une chaîne JDBC fournie par des variables d’environnement, sans inscrire les paramètres de connexion dans le code source. La migration initiale peut être réalisée avec pg_dump puis pg_restore afin de conserver la continuité des données entre l’environnement local et l’environnement Cloud.</w:t>
      </w:r>
    </w:p>
    <w:p>
      <w:pPr>
        <w:keepNext/>
        <w:jc w:val="center"/>
      </w:pPr>
      <w:r>
        <w:drawing>
          <wp:inline xmlns:a="http://schemas.openxmlformats.org/drawingml/2006/main" xmlns:pic="http://schemas.openxmlformats.org/drawingml/2006/picture">
            <wp:extent cx="5349240" cy="3381303"/>
            <wp:docPr id="45" name="Picture 45"/>
            <wp:cNvGraphicFramePr>
              <a:graphicFrameLocks noChangeAspect="1"/>
            </wp:cNvGraphicFramePr>
            <a:graphic>
              <a:graphicData uri="http://schemas.openxmlformats.org/drawingml/2006/picture">
                <pic:pic>
                  <pic:nvPicPr>
                    <pic:cNvPr id="0" name="ConfigurationDataBas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étant remplaçables, les fichiers déposés dans leur système de fichiers interne ne doivent pas constituer le stockage permanent. Azure Files fournit donc un partage monté dans le backend, notamment pour conserver les documents justificatifs, les images de produits, les logos et les autres contenus téléversés. Le montage du partage garantit que ces fichiers demeurent disponibles après la création d’une nouvelle révision.</w:t>
      </w:r>
    </w:p>
    <w:p>
      <w:pPr>
        <w:keepNext/>
        <w:jc w:val="center"/>
      </w:pPr>
      <w:r>
        <w:drawing>
          <wp:inline xmlns:a="http://schemas.openxmlformats.org/drawingml/2006/main" xmlns:pic="http://schemas.openxmlformats.org/drawingml/2006/picture">
            <wp:extent cx="5349240" cy="3353538"/>
            <wp:docPr id="46" name="Picture 46"/>
            <wp:cNvGraphicFramePr>
              <a:graphicFrameLocks noChangeAspect="1"/>
            </wp:cNvGraphicFramePr>
            <a:graphic>
              <a:graphicData uri="http://schemas.openxmlformats.org/drawingml/2006/picture">
                <pic:pic>
                  <pic:nvPicPr>
                    <pic:cNvPr id="0" name="StockageAzureDataBas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Hébergement avec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rend les services accessibles en HTTPS et les deux composants peuvent être mis à jour indépendamment.</w:t>
      </w:r>
    </w:p>
    <w:p>
      <w:pPr>
        <w:keepNext/>
        <w:jc w:val="center"/>
      </w:pPr>
      <w:r>
        <w:drawing>
          <wp:inline xmlns:a="http://schemas.openxmlformats.org/drawingml/2006/main" xmlns:pic="http://schemas.openxmlformats.org/drawingml/2006/picture">
            <wp:extent cx="5349240" cy="3289937"/>
            <wp:docPr id="47" name="Picture 47"/>
            <wp:cNvGraphicFramePr>
              <a:graphicFrameLocks noChangeAspect="1"/>
            </wp:cNvGraphicFramePr>
            <a:graphic>
              <a:graphicData uri="http://schemas.openxmlformats.org/drawingml/2006/picture">
                <pic:pic>
                  <pic:nvPicPr>
                    <pic:cNvPr id="0" name="ConfigContainerFrontend.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pPr>
        <w:keepNext/>
        <w:jc w:val="center"/>
      </w:pPr>
      <w:r>
        <w:drawing>
          <wp:inline xmlns:a="http://schemas.openxmlformats.org/drawingml/2006/main" xmlns:pic="http://schemas.openxmlformats.org/drawingml/2006/picture">
            <wp:extent cx="5349240" cy="3254325"/>
            <wp:docPr id="48" name="Picture 48"/>
            <wp:cNvGraphicFramePr>
              <a:graphicFrameLocks noChangeAspect="1"/>
            </wp:cNvGraphicFramePr>
            <a:graphic>
              <a:graphicData uri="http://schemas.openxmlformats.org/drawingml/2006/picture">
                <pic:pic>
                  <pic:nvPicPr>
                    <pic:cNvPr id="0" name="ConfigurationContainerBackend.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mettre à jour successivement la Container App du backend et celle du frontend. Une nouvelle révision est créée avec le numéro du build ; cette révision fournit une version identifiable et permet de suivre le résultat du déploiement.</w:t>
      </w:r>
    </w:p>
    <w:p>
      <w:pPr>
        <w:keepNext/>
        <w:jc w:val="center"/>
      </w:pPr>
      <w:r>
        <w:drawing>
          <wp:inline xmlns:a="http://schemas.openxmlformats.org/drawingml/2006/main" xmlns:pic="http://schemas.openxmlformats.org/drawingml/2006/picture">
            <wp:extent cx="5349240" cy="3109893"/>
            <wp:docPr id="49" name="Picture 49"/>
            <wp:cNvGraphicFramePr>
              <a:graphicFrameLocks noChangeAspect="1"/>
            </wp:cNvGraphicFramePr>
            <a:graphic>
              <a:graphicData uri="http://schemas.openxmlformats.org/drawingml/2006/picture">
                <pic:pic>
                  <pic:nvPicPr>
                    <pic:cNvPr id="0" name="DéploiementRéussi.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6.19 — Création d’une nouvelle révision Azure Container Apps après déploiement</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Architecture complète et validation du processus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push, Jenkins récupère le code, construit les deux composants, exécute les tests et les analyses, publie les images puis demande à Azure Container Apps d’utiliser les nouvelles versions. Le backend déployé communique avec PostgreSQL Azure et avec le stockage persistant Azure Files.</w:t>
      </w:r>
    </w:p>
    <w:p>
      <w:pPr>
        <w:keepNext/>
        <w:jc w:val="center"/>
      </w:pPr>
      <w:r>
        <w:drawing>
          <wp:inline xmlns:a="http://schemas.openxmlformats.org/drawingml/2006/main" xmlns:pic="http://schemas.openxmlformats.org/drawingml/2006/picture">
            <wp:extent cx="5349240" cy="3231832"/>
            <wp:docPr id="50" name="Picture 50"/>
            <wp:cNvGraphicFramePr>
              <a:graphicFrameLocks noChangeAspect="1"/>
            </wp:cNvGraphicFramePr>
            <a:graphic>
              <a:graphicData uri="http://schemas.openxmlformats.org/drawingml/2006/picture">
                <pic:pic>
                  <pic:nvPicPr>
                    <pic:cNvPr id="0" name="fig_6_2_azure_deployment_architecture.png"/>
                    <pic:cNvPicPr/>
                  </pic:nvPicPr>
                  <pic:blipFill>
                    <a:blip r:embed="rId57"/>
                    <a:stretch>
                      <a:fillRect/>
                    </a:stretch>
                  </pic:blipFill>
                  <pic:spPr>
                    <a:xfrm>
                      <a:off x="0" y="0"/>
                      <a:ext cx="5349240" cy="323183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 à exécuter un git push sur la branche suivie. Le Webhook déclenche Jenkins, qui exécute successivement les étapes de construction, de test, d’analyse, de création d’images, de publication et de déploiement. La disponibilité d’une nouvelle révision des Container Apps après une exécution réussie confirme le fonctionnement de bout en bout du processus automatisé.</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