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2E74B5"/>
          <w:sz w:val="24"/>
        </w:rPr>
        <w:t>MÉMOIRE DE FIN D’ÉTUDES — MASTER</w:t>
      </w:r>
    </w:p>
    <w:p>
      <w:pPr>
        <w:spacing w:before="360" w:after="240"/>
        <w:jc w:val="center"/>
      </w:pPr>
      <w:r>
        <w:rPr>
          <w:rFonts w:ascii="Calibri" w:hAnsi="Calibri"/>
          <w:b/>
          <w:color w:val="0B2545"/>
          <w:sz w:val="46"/>
        </w:rPr>
        <w:t>Conception, développement et déploiement d’une plateforme SaaS multi-tenant pour la gestion de marketplaces bancaires avec mise en place d’un pipeline CI/CD</w:t>
      </w:r>
    </w:p>
    <w:p>
      <w:pPr>
        <w:spacing w:before="500"/>
        <w:jc w:val="center"/>
      </w:pPr>
      <w:r>
        <w:rPr>
          <w:rFonts w:ascii="Calibri" w:hAnsi="Calibri"/>
          <w:b w:val="0"/>
          <w:color w:val="1F4D78"/>
          <w:sz w:val="32"/>
        </w:rPr>
        <w:t>Rapport PFE — Plateforme Matchia</w:t>
      </w:r>
    </w:p>
    <w:p/>
    <w:p/>
    <w:p/>
    <w:p/>
    <w:p/>
    <w:p/>
    <w:p/>
    <w:p/>
    <w:p>
      <w:pPr>
        <w:jc w:val="center"/>
      </w:pPr>
      <w:r>
        <w:rPr>
          <w:rFonts w:ascii="Calibri" w:hAnsi="Calibri"/>
          <w:i/>
          <w:color w:val="5B6573"/>
          <w:sz w:val="20"/>
        </w:rPr>
        <w:t>Version académique fondée sur le code source et la configuration du projet</w:t>
      </w:r>
    </w:p>
    <w:p>
      <w:r>
        <w:br w:type="page"/>
      </w:r>
    </w:p>
    <w:p>
      <w:pPr>
        <w:pStyle w:val="Heading1"/>
      </w:pPr>
      <w:r>
        <w:rPr>
          <w:rFonts w:ascii="Calibri" w:hAnsi="Calibri"/>
        </w:rPr>
        <w:t>Chapitre 1 — Cadre général, contexte et problématique</w:t>
      </w:r>
    </w:p>
    <w:p>
      <w:r>
        <w:rPr>
          <w:rFonts w:ascii="Calibri" w:hAnsi="Calibri"/>
        </w:rPr>
        <w:t>Ce premier chapitre situe Matchia dans le contexte de la digitalisation des offres bancaires. Il présente la limite des marketplaces développées séparément, formule la problématique du projet, précise son périmètre puis décrit l’organisation agile retenue pour conduire les incréments de réalisation.</w:t>
      </w:r>
    </w:p>
    <w:p>
      <w:pPr>
        <w:pStyle w:val="Heading2"/>
      </w:pPr>
      <w:r>
        <w:rPr>
          <w:rFonts w:ascii="Calibri" w:hAnsi="Calibri"/>
        </w:rPr>
        <w:t>1.1 Contexte général</w:t>
      </w:r>
    </w:p>
    <w:p>
      <w:r>
        <w:rPr>
          <w:rFonts w:ascii="Calibri" w:hAnsi="Calibri"/>
        </w:rPr>
        <w:t>Les banques souhaitent mettre à disposition des catalogues d’offres et de produits tout en conservant leur identité, leurs règles de gestion et leur contrôle des partenaires. Dans une approche traditionnelle, chaque banque possède une marketplace construite ou adaptée manuellement par une équipe de développement. Cette situation multiplie les bases de code, allonge les délais de livraison et rend les évolutions fonctionnelles hétérogènes.</w:t>
      </w:r>
    </w:p>
    <w:p>
      <w:r>
        <w:rPr>
          <w:rFonts w:ascii="Calibri" w:hAnsi="Calibri"/>
        </w:rPr>
        <w:t>Le besoin s’étend au-delà d’un catalogue : la banque doit paramétrer les univers de vente, gérer des produits, collaborer avec des concessionnaires, suivre les demandes de financement et administrer l’accès de ses clients. Un concessionnaire présent auprès de plusieurs banques ne doit pas avoir à dupliquer son compte ni son stock dans chaque plateforme. Ces contraintes justifient une plateforme mutualisée et configurable.</w:t>
      </w:r>
    </w:p>
    <w:p>
      <w:r>
        <w:rPr>
          <w:rFonts w:ascii="Calibri" w:hAnsi="Calibri"/>
        </w:rPr>
        <w:t>La figure suivante illustre la consultation d’une marketplace tenantisée, dont l’apparence est propre à une banque.</w:t>
      </w:r>
    </w:p>
    <w:p>
      <w:pPr>
        <w:spacing w:before="120" w:after="60"/>
        <w:jc w:val="center"/>
      </w:pPr>
      <w:r>
        <w:drawing>
          <wp:inline xmlns:a="http://schemas.openxmlformats.org/drawingml/2006/main" xmlns:pic="http://schemas.openxmlformats.org/drawingml/2006/picture">
            <wp:extent cx="5715000" cy="3306944"/>
            <wp:docPr id="1" name="Picture 1" descr="Figure 1.1 — Exemple de marketplace bancaire contextualisée par tenant." title="Figure 1.1 — Exemple de marketplace bancaire contextualisée par tenant."/>
            <wp:cNvGraphicFramePr>
              <a:graphicFrameLocks noChangeAspect="1"/>
            </wp:cNvGraphicFramePr>
            <a:graphic>
              <a:graphicData uri="http://schemas.openxmlformats.org/drawingml/2006/picture">
                <pic:pic>
                  <pic:nvPicPr>
                    <pic:cNvPr id="0" name="TenantMarketplace.png"/>
                    <pic:cNvPicPr/>
                  </pic:nvPicPr>
                  <pic:blipFill>
                    <a:blip r:embed="rId11"/>
                    <a:stretch>
                      <a:fillRect/>
                    </a:stretch>
                  </pic:blipFill>
                  <pic:spPr>
                    <a:xfrm>
                      <a:off x="0" y="0"/>
                      <a:ext cx="5715000" cy="3306944"/>
                    </a:xfrm>
                    <a:prstGeom prst="rect"/>
                  </pic:spPr>
                </pic:pic>
              </a:graphicData>
            </a:graphic>
          </wp:inline>
        </w:drawing>
      </w:r>
    </w:p>
    <w:p>
      <w:pPr>
        <w:pStyle w:val="Caption"/>
        <w:jc w:val="center"/>
      </w:pPr>
      <w:r>
        <w:rPr>
          <w:rFonts w:ascii="Calibri" w:hAnsi="Calibri"/>
          <w:i/>
          <w:color w:val="5B6573"/>
          <w:sz w:val="18"/>
        </w:rPr>
        <w:t>Figure 1.1 — Exemple de marketplace bancaire contextualisée par tenant.</w:t>
      </w:r>
    </w:p>
    <w:p>
      <w:pPr>
        <w:pStyle w:val="Heading2"/>
      </w:pPr>
      <w:r>
        <w:rPr>
          <w:rFonts w:ascii="Calibri" w:hAnsi="Calibri"/>
        </w:rPr>
        <w:t>1.2 Problématique et solution proposée</w:t>
      </w:r>
    </w:p>
    <w:p>
      <w:r>
        <w:rPr>
          <w:rFonts w:ascii="Calibri" w:hAnsi="Calibri"/>
        </w:rPr>
        <w:t>La problématique étudiée est la suivante : comment concevoir une plateforme SaaS multi-tenant permettant à chaque banque de déployer une marketplace personnalisée et modulaire, tout en sécurisant les processus d’abonnement, de partenariat, de publication et de financement impliquant plusieurs acteurs ?</w:t>
      </w:r>
    </w:p>
    <w:tbl>
      <w:tblPr>
        <w:tblStyle w:val="TableGrid"/>
        <w:tblW w:type="dxa" w:w="9360"/>
        <w:jc w:val="left"/>
        <w:tblLayout w:type="fixed"/>
        <w:tblLook w:firstColumn="1" w:firstRow="1" w:lastColumn="0" w:lastRow="0" w:noHBand="0" w:noVBand="1" w:val="04A0"/>
        <w:tblInd w:w="120" w:type="dxa"/>
      </w:tblPr>
      <w:tblGrid>
        <w:gridCol w:w="2600"/>
        <w:gridCol w:w="4300"/>
        <w:gridCol w:w="2460"/>
      </w:tblGrid>
      <w:tr>
        <w:trPr>
          <w:tblHeader w:val="true"/>
        </w:trPr>
        <w:tc>
          <w:tcPr>
            <w:tcW w:type="dxa" w:w="2600"/>
            <w:tcMar>
              <w:top w:w="80" w:type="dxa"/>
              <w:start w:w="120" w:type="dxa"/>
              <w:bottom w:w="80" w:type="dxa"/>
              <w:end w:w="120" w:type="dxa"/>
            </w:tcMar>
            <w:shd w:fill="F4F6F9"/>
          </w:tcPr>
          <w:p>
            <w:r>
              <w:rPr>
                <w:rFonts w:ascii="Calibri" w:hAnsi="Calibri"/>
                <w:b/>
                <w:color w:val="202124"/>
                <w:sz w:val="18"/>
              </w:rPr>
              <w:t>Limite identifiée</w:t>
            </w:r>
          </w:p>
        </w:tc>
        <w:tc>
          <w:tcPr>
            <w:tcW w:type="dxa" w:w="4300"/>
            <w:tcMar>
              <w:top w:w="80" w:type="dxa"/>
              <w:start w:w="120" w:type="dxa"/>
              <w:bottom w:w="80" w:type="dxa"/>
              <w:end w:w="120" w:type="dxa"/>
            </w:tcMar>
            <w:shd w:fill="F4F6F9"/>
          </w:tcPr>
          <w:p>
            <w:r>
              <w:rPr>
                <w:rFonts w:ascii="Calibri" w:hAnsi="Calibri"/>
                <w:b/>
                <w:color w:val="202124"/>
                <w:sz w:val="18"/>
              </w:rPr>
              <w:t>Réponse proposée par Matchia</w:t>
            </w:r>
          </w:p>
        </w:tc>
        <w:tc>
          <w:tcPr>
            <w:tcW w:type="dxa" w:w="2460"/>
            <w:tcMar>
              <w:top w:w="80" w:type="dxa"/>
              <w:start w:w="120" w:type="dxa"/>
              <w:bottom w:w="80" w:type="dxa"/>
              <w:end w:w="120" w:type="dxa"/>
            </w:tcMar>
            <w:shd w:fill="F4F6F9"/>
          </w:tcPr>
          <w:p>
            <w:r>
              <w:rPr>
                <w:rFonts w:ascii="Calibri" w:hAnsi="Calibri"/>
                <w:b/>
                <w:color w:val="202124"/>
                <w:sz w:val="18"/>
              </w:rPr>
              <w:t>Valeur apportée</w:t>
            </w:r>
          </w:p>
        </w:tc>
      </w:tr>
      <w:tr>
        <w:tc>
          <w:tcPr>
            <w:tcW w:type="dxa" w:w="2600"/>
          </w:tcPr>
          <w:p>
            <w:r>
              <w:rPr>
                <w:rFonts w:ascii="Calibri" w:hAnsi="Calibri"/>
                <w:color w:val="202124"/>
                <w:sz w:val="18"/>
              </w:rPr>
              <w:t>Code spécifique par banque</w:t>
            </w:r>
          </w:p>
        </w:tc>
        <w:tc>
          <w:tcPr>
            <w:tcW w:type="dxa" w:w="4300"/>
          </w:tcPr>
          <w:p>
            <w:r>
              <w:rPr>
                <w:rFonts w:ascii="Calibri" w:hAnsi="Calibri"/>
                <w:color w:val="202124"/>
                <w:sz w:val="18"/>
              </w:rPr>
              <w:t>Socle SaaS commun et configuration par tenant.</w:t>
            </w:r>
          </w:p>
        </w:tc>
        <w:tc>
          <w:tcPr>
            <w:tcW w:type="dxa" w:w="2460"/>
          </w:tcPr>
          <w:p>
            <w:r>
              <w:rPr>
                <w:rFonts w:ascii="Calibri" w:hAnsi="Calibri"/>
                <w:color w:val="202124"/>
                <w:sz w:val="18"/>
              </w:rPr>
              <w:t>Réduction de la duplication et des délais d’évolution.</w:t>
            </w:r>
          </w:p>
        </w:tc>
      </w:tr>
      <w:tr>
        <w:tc>
          <w:tcPr>
            <w:tcW w:type="dxa" w:w="2600"/>
          </w:tcPr>
          <w:p>
            <w:r>
              <w:rPr>
                <w:rFonts w:ascii="Calibri" w:hAnsi="Calibri"/>
                <w:color w:val="202124"/>
                <w:sz w:val="18"/>
              </w:rPr>
              <w:t>Comptes et stocks séparés pour les partenaires</w:t>
            </w:r>
          </w:p>
        </w:tc>
        <w:tc>
          <w:tcPr>
            <w:tcW w:type="dxa" w:w="4300"/>
          </w:tcPr>
          <w:p>
            <w:r>
              <w:rPr>
                <w:rFonts w:ascii="Calibri" w:hAnsi="Calibri"/>
                <w:color w:val="202124"/>
                <w:sz w:val="18"/>
              </w:rPr>
              <w:t>Compte concessionnaire unique, partenariats et publications contextualisés.</w:t>
            </w:r>
          </w:p>
        </w:tc>
        <w:tc>
          <w:tcPr>
            <w:tcW w:type="dxa" w:w="2460"/>
          </w:tcPr>
          <w:p>
            <w:r>
              <w:rPr>
                <w:rFonts w:ascii="Calibri" w:hAnsi="Calibri"/>
                <w:color w:val="202124"/>
                <w:sz w:val="18"/>
              </w:rPr>
              <w:t>Centralisation du catalogue et maîtrise de la visibilité.</w:t>
            </w:r>
          </w:p>
        </w:tc>
      </w:tr>
      <w:tr>
        <w:tc>
          <w:tcPr>
            <w:tcW w:type="dxa" w:w="2600"/>
          </w:tcPr>
          <w:p>
            <w:r>
              <w:rPr>
                <w:rFonts w:ascii="Calibri" w:hAnsi="Calibri"/>
                <w:color w:val="202124"/>
                <w:sz w:val="18"/>
              </w:rPr>
              <w:t>Traitement manuel et peu traçable</w:t>
            </w:r>
          </w:p>
        </w:tc>
        <w:tc>
          <w:tcPr>
            <w:tcW w:type="dxa" w:w="4300"/>
          </w:tcPr>
          <w:p>
            <w:r>
              <w:rPr>
                <w:rFonts w:ascii="Calibri" w:hAnsi="Calibri"/>
                <w:color w:val="202124"/>
                <w:sz w:val="18"/>
              </w:rPr>
              <w:t>Statuts, notifications, e-mails, audit et workflows contrôlés.</w:t>
            </w:r>
          </w:p>
        </w:tc>
        <w:tc>
          <w:tcPr>
            <w:tcW w:type="dxa" w:w="2460"/>
          </w:tcPr>
          <w:p>
            <w:r>
              <w:rPr>
                <w:rFonts w:ascii="Calibri" w:hAnsi="Calibri"/>
                <w:color w:val="202124"/>
                <w:sz w:val="18"/>
              </w:rPr>
              <w:t>Suivi opérationnel et responsabilité explicite.</w:t>
            </w:r>
          </w:p>
        </w:tc>
      </w:tr>
      <w:tr>
        <w:tc>
          <w:tcPr>
            <w:tcW w:type="dxa" w:w="2600"/>
          </w:tcPr>
          <w:p>
            <w:r>
              <w:rPr>
                <w:rFonts w:ascii="Calibri" w:hAnsi="Calibri"/>
                <w:color w:val="202124"/>
                <w:sz w:val="18"/>
              </w:rPr>
              <w:t>Paiement non intégré à l’activation</w:t>
            </w:r>
          </w:p>
        </w:tc>
        <w:tc>
          <w:tcPr>
            <w:tcW w:type="dxa" w:w="4300"/>
          </w:tcPr>
          <w:p>
            <w:r>
              <w:rPr>
                <w:rFonts w:ascii="Calibri" w:hAnsi="Calibri"/>
                <w:color w:val="202124"/>
                <w:sz w:val="18"/>
              </w:rPr>
              <w:t>Paiement Stripe et activation conditionnée à sa confirmation.</w:t>
            </w:r>
          </w:p>
        </w:tc>
        <w:tc>
          <w:tcPr>
            <w:tcW w:type="dxa" w:w="2460"/>
          </w:tcPr>
          <w:p>
            <w:r>
              <w:rPr>
                <w:rFonts w:ascii="Calibri" w:hAnsi="Calibri"/>
                <w:color w:val="202124"/>
                <w:sz w:val="18"/>
              </w:rPr>
              <w:t>Cycle commercial contrôlé.</w:t>
            </w:r>
          </w:p>
        </w:tc>
      </w:tr>
    </w:tbl>
    <w:p>
      <w:pPr>
        <w:spacing w:after="60"/>
      </w:pPr>
    </w:p>
    <w:p>
      <w:pPr>
        <w:pStyle w:val="Heading2"/>
      </w:pPr>
      <w:r>
        <w:rPr>
          <w:rFonts w:ascii="Calibri" w:hAnsi="Calibri"/>
        </w:rPr>
        <w:t>1.3 Objectifs et périmètre</w:t>
      </w:r>
    </w:p>
    <w:p>
      <w:r>
        <w:rPr>
          <w:rFonts w:ascii="Calibri" w:hAnsi="Calibri"/>
        </w:rPr>
        <w:t>L’objectif général est de réaliser une plateforme centralisée, configurable et sécurisée. Les objectifs spécifiques couvrent l’onboarding des banques, la création de marketplaces, la gestion des stores et modules, les abonnements et paiements, l’administration de partenaires, les produits, le financement client, la notification et l’assistance analytique contrôlée.</w:t>
      </w:r>
    </w:p>
    <w:p>
      <w:r>
        <w:rPr>
          <w:rFonts w:ascii="Calibri" w:hAnsi="Calibri"/>
        </w:rPr>
        <w:t>Le prototype ne prétend pas automatiser la décision de crédit ni couvrir un dispositif réglementaire de KYC complet. Les services externes de paiement, messagerie et IA sont intégrés comme dépendances ; leur paramétrage de production relève d’une gestion sécurisée des secrets. La haute disponibilité multi-région et la conformité réglementaire certifiée restent des perspectives d’industrialisation.</w:t>
      </w:r>
    </w:p>
    <w:p>
      <w:pPr>
        <w:pStyle w:val="Heading2"/>
      </w:pPr>
      <w:r>
        <w:rPr>
          <w:rFonts w:ascii="Calibri" w:hAnsi="Calibri"/>
        </w:rPr>
        <w:t>1.4 Méthodologie Agile Scrum</w:t>
      </w:r>
    </w:p>
    <w:p>
      <w:r>
        <w:rPr>
          <w:rFonts w:ascii="Calibri" w:hAnsi="Calibri"/>
        </w:rPr>
        <w:t>La conduite du projet s’appuie sur une démarche Agile Scrum. Elle organise le travail en sprints courts, permet de prioriser les besoins à partir du product backlog et favorise la démonstration régulière de parcours fonctionnels complets. Le Product Owner porte la vision et la priorisation, l’équipe de développement réalise et teste les incréments, tandis que les revues et rétrospectives permettent d’ajuster le contenu et les pratiques.</w:t>
      </w:r>
    </w:p>
    <w:p>
      <w:pPr>
        <w:pStyle w:val="ListBullet"/>
      </w:pPr>
      <w:r>
        <w:rPr>
          <w:rFonts w:ascii="Calibri" w:hAnsi="Calibri"/>
        </w:rPr>
        <w:t>Product backlog : liste priorisée des besoins, formulés sous forme de user stories.</w:t>
      </w:r>
    </w:p>
    <w:p>
      <w:pPr>
        <w:pStyle w:val="ListBullet"/>
      </w:pPr>
      <w:r>
        <w:rPr>
          <w:rFonts w:ascii="Calibri" w:hAnsi="Calibri"/>
        </w:rPr>
        <w:t>Sprint planning : sélection d’un objectif et des éléments réalisables pendant le sprint.</w:t>
      </w:r>
    </w:p>
    <w:p>
      <w:pPr>
        <w:pStyle w:val="ListBullet"/>
      </w:pPr>
      <w:r>
        <w:rPr>
          <w:rFonts w:ascii="Calibri" w:hAnsi="Calibri"/>
        </w:rPr>
        <w:t>Daily Scrum : synchronisation courte sur l’avancement, les blocages et les priorités.</w:t>
      </w:r>
    </w:p>
    <w:p>
      <w:pPr>
        <w:pStyle w:val="ListBullet"/>
      </w:pPr>
      <w:r>
        <w:rPr>
          <w:rFonts w:ascii="Calibri" w:hAnsi="Calibri"/>
        </w:rPr>
        <w:t>Sprint review : démonstration de l’incrément aux parties prenantes.</w:t>
      </w:r>
    </w:p>
    <w:p>
      <w:pPr>
        <w:pStyle w:val="ListBullet"/>
      </w:pPr>
      <w:r>
        <w:rPr>
          <w:rFonts w:ascii="Calibri" w:hAnsi="Calibri"/>
        </w:rPr>
        <w:t>Rétrospective : amélioration continue de l’organisation, des tests et de la collaboration.</w:t>
      </w:r>
    </w:p>
    <w:p>
      <w:pPr>
        <w:pStyle w:val="Heading2"/>
      </w:pPr>
      <w:r>
        <w:rPr>
          <w:rFonts w:ascii="Calibri" w:hAnsi="Calibri"/>
        </w:rPr>
        <w:t>1.5 Planification par releases et sprints</w:t>
      </w:r>
    </w:p>
    <w:tbl>
      <w:tblPr>
        <w:tblStyle w:val="TableGrid"/>
        <w:tblW w:type="dxa" w:w="9360"/>
        <w:jc w:val="left"/>
        <w:tblLayout w:type="fixed"/>
        <w:tblLook w:firstColumn="1" w:firstRow="1" w:lastColumn="0" w:lastRow="0" w:noHBand="0" w:noVBand="1" w:val="04A0"/>
        <w:tblInd w:w="120" w:type="dxa"/>
      </w:tblPr>
      <w:tblGrid>
        <w:gridCol w:w="2600"/>
        <w:gridCol w:w="1450"/>
        <w:gridCol w:w="5310"/>
      </w:tblGrid>
      <w:tr>
        <w:trPr>
          <w:tblHeader w:val="true"/>
        </w:trPr>
        <w:tc>
          <w:tcPr>
            <w:tcW w:type="dxa" w:w="2600"/>
            <w:tcMar>
              <w:top w:w="80" w:type="dxa"/>
              <w:start w:w="120" w:type="dxa"/>
              <w:bottom w:w="80" w:type="dxa"/>
              <w:end w:w="120" w:type="dxa"/>
            </w:tcMar>
            <w:shd w:fill="F4F6F9"/>
          </w:tcPr>
          <w:p>
            <w:r>
              <w:rPr>
                <w:rFonts w:ascii="Calibri" w:hAnsi="Calibri"/>
                <w:b/>
                <w:color w:val="202124"/>
                <w:sz w:val="18"/>
              </w:rPr>
              <w:t>Release</w:t>
            </w:r>
          </w:p>
        </w:tc>
        <w:tc>
          <w:tcPr>
            <w:tcW w:type="dxa" w:w="1450"/>
            <w:tcMar>
              <w:top w:w="80" w:type="dxa"/>
              <w:start w:w="120" w:type="dxa"/>
              <w:bottom w:w="80" w:type="dxa"/>
              <w:end w:w="120" w:type="dxa"/>
            </w:tcMar>
            <w:shd w:fill="F4F6F9"/>
          </w:tcPr>
          <w:p>
            <w:r>
              <w:rPr>
                <w:rFonts w:ascii="Calibri" w:hAnsi="Calibri"/>
                <w:b/>
                <w:color w:val="202124"/>
                <w:sz w:val="18"/>
              </w:rPr>
              <w:t>Sprints</w:t>
            </w:r>
          </w:p>
        </w:tc>
        <w:tc>
          <w:tcPr>
            <w:tcW w:type="dxa" w:w="5310"/>
            <w:tcMar>
              <w:top w:w="80" w:type="dxa"/>
              <w:start w:w="120" w:type="dxa"/>
              <w:bottom w:w="80" w:type="dxa"/>
              <w:end w:w="120" w:type="dxa"/>
            </w:tcMar>
            <w:shd w:fill="F4F6F9"/>
          </w:tcPr>
          <w:p>
            <w:r>
              <w:rPr>
                <w:rFonts w:ascii="Calibri" w:hAnsi="Calibri"/>
                <w:b/>
                <w:color w:val="202124"/>
                <w:sz w:val="18"/>
              </w:rPr>
              <w:t>Incrément livré</w:t>
            </w:r>
          </w:p>
        </w:tc>
      </w:tr>
      <w:tr>
        <w:tc>
          <w:tcPr>
            <w:tcW w:type="dxa" w:w="2600"/>
          </w:tcPr>
          <w:p>
            <w:r>
              <w:rPr>
                <w:rFonts w:ascii="Calibri" w:hAnsi="Calibri"/>
                <w:color w:val="202124"/>
                <w:sz w:val="18"/>
              </w:rPr>
              <w:t>R1 — Socle</w:t>
            </w:r>
          </w:p>
        </w:tc>
        <w:tc>
          <w:tcPr>
            <w:tcW w:type="dxa" w:w="1450"/>
          </w:tcPr>
          <w:p>
            <w:r>
              <w:rPr>
                <w:rFonts w:ascii="Calibri" w:hAnsi="Calibri"/>
                <w:color w:val="202124"/>
                <w:sz w:val="18"/>
              </w:rPr>
              <w:t>S1–S2</w:t>
            </w:r>
          </w:p>
        </w:tc>
        <w:tc>
          <w:tcPr>
            <w:tcW w:type="dxa" w:w="5310"/>
          </w:tcPr>
          <w:p>
            <w:r>
              <w:rPr>
                <w:rFonts w:ascii="Calibri" w:hAnsi="Calibri"/>
                <w:color w:val="202124"/>
                <w:sz w:val="18"/>
              </w:rPr>
              <w:t>Modèle Bank/User, sécurité JWT, rôles, routes protégées et persistance PostgreSQL.</w:t>
            </w:r>
          </w:p>
        </w:tc>
      </w:tr>
      <w:tr>
        <w:tc>
          <w:tcPr>
            <w:tcW w:type="dxa" w:w="2600"/>
          </w:tcPr>
          <w:p>
            <w:r>
              <w:rPr>
                <w:rFonts w:ascii="Calibri" w:hAnsi="Calibri"/>
                <w:color w:val="202124"/>
                <w:sz w:val="18"/>
              </w:rPr>
              <w:t>R2 — Multi-tenance</w:t>
            </w:r>
          </w:p>
        </w:tc>
        <w:tc>
          <w:tcPr>
            <w:tcW w:type="dxa" w:w="1450"/>
          </w:tcPr>
          <w:p>
            <w:r>
              <w:rPr>
                <w:rFonts w:ascii="Calibri" w:hAnsi="Calibri"/>
                <w:color w:val="202124"/>
                <w:sz w:val="18"/>
              </w:rPr>
              <w:t>S3–S4</w:t>
            </w:r>
          </w:p>
        </w:tc>
        <w:tc>
          <w:tcPr>
            <w:tcW w:type="dxa" w:w="5310"/>
          </w:tcPr>
          <w:p>
            <w:r>
              <w:rPr>
                <w:rFonts w:ascii="Calibri" w:hAnsi="Calibri"/>
                <w:color w:val="202124"/>
                <w:sz w:val="18"/>
              </w:rPr>
              <w:t>Adhésion banque, marketplace, branding, stores, modules et contexte tenant.</w:t>
            </w:r>
          </w:p>
        </w:tc>
      </w:tr>
      <w:tr>
        <w:tc>
          <w:tcPr>
            <w:tcW w:type="dxa" w:w="2600"/>
          </w:tcPr>
          <w:p>
            <w:r>
              <w:rPr>
                <w:rFonts w:ascii="Calibri" w:hAnsi="Calibri"/>
                <w:color w:val="202124"/>
                <w:sz w:val="18"/>
              </w:rPr>
              <w:t>R3 — Marketplace</w:t>
            </w:r>
          </w:p>
        </w:tc>
        <w:tc>
          <w:tcPr>
            <w:tcW w:type="dxa" w:w="1450"/>
          </w:tcPr>
          <w:p>
            <w:r>
              <w:rPr>
                <w:rFonts w:ascii="Calibri" w:hAnsi="Calibri"/>
                <w:color w:val="202124"/>
                <w:sz w:val="18"/>
              </w:rPr>
              <w:t>S5</w:t>
            </w:r>
          </w:p>
        </w:tc>
        <w:tc>
          <w:tcPr>
            <w:tcW w:type="dxa" w:w="5310"/>
          </w:tcPr>
          <w:p>
            <w:r>
              <w:rPr>
                <w:rFonts w:ascii="Calibri" w:hAnsi="Calibri"/>
                <w:color w:val="202124"/>
                <w:sz w:val="18"/>
              </w:rPr>
              <w:t>Catalogue public, contenu, comparateur et simulateur selon les modules actifs.</w:t>
            </w:r>
          </w:p>
        </w:tc>
      </w:tr>
      <w:tr>
        <w:tc>
          <w:tcPr>
            <w:tcW w:type="dxa" w:w="2600"/>
          </w:tcPr>
          <w:p>
            <w:r>
              <w:rPr>
                <w:rFonts w:ascii="Calibri" w:hAnsi="Calibri"/>
                <w:color w:val="202124"/>
                <w:sz w:val="18"/>
              </w:rPr>
              <w:t>R4 — Commercial</w:t>
            </w:r>
          </w:p>
        </w:tc>
        <w:tc>
          <w:tcPr>
            <w:tcW w:type="dxa" w:w="1450"/>
          </w:tcPr>
          <w:p>
            <w:r>
              <w:rPr>
                <w:rFonts w:ascii="Calibri" w:hAnsi="Calibri"/>
                <w:color w:val="202124"/>
                <w:sz w:val="18"/>
              </w:rPr>
              <w:t>S6</w:t>
            </w:r>
          </w:p>
        </w:tc>
        <w:tc>
          <w:tcPr>
            <w:tcW w:type="dxa" w:w="5310"/>
          </w:tcPr>
          <w:p>
            <w:r>
              <w:rPr>
                <w:rFonts w:ascii="Calibri" w:hAnsi="Calibri"/>
                <w:color w:val="202124"/>
                <w:sz w:val="18"/>
              </w:rPr>
              <w:t>Offres, abonnements, paiement Stripe, activation, e-mails et notifications.</w:t>
            </w:r>
          </w:p>
        </w:tc>
      </w:tr>
      <w:tr>
        <w:tc>
          <w:tcPr>
            <w:tcW w:type="dxa" w:w="2600"/>
          </w:tcPr>
          <w:p>
            <w:r>
              <w:rPr>
                <w:rFonts w:ascii="Calibri" w:hAnsi="Calibri"/>
                <w:color w:val="202124"/>
                <w:sz w:val="18"/>
              </w:rPr>
              <w:t>R5 — Partenaires</w:t>
            </w:r>
          </w:p>
        </w:tc>
        <w:tc>
          <w:tcPr>
            <w:tcW w:type="dxa" w:w="1450"/>
          </w:tcPr>
          <w:p>
            <w:r>
              <w:rPr>
                <w:rFonts w:ascii="Calibri" w:hAnsi="Calibri"/>
                <w:color w:val="202124"/>
                <w:sz w:val="18"/>
              </w:rPr>
              <w:t>S7–S8</w:t>
            </w:r>
          </w:p>
        </w:tc>
        <w:tc>
          <w:tcPr>
            <w:tcW w:type="dxa" w:w="5310"/>
          </w:tcPr>
          <w:p>
            <w:r>
              <w:rPr>
                <w:rFonts w:ascii="Calibri" w:hAnsi="Calibri"/>
                <w:color w:val="202124"/>
                <w:sz w:val="18"/>
              </w:rPr>
              <w:t>Concessionnaires, partenariats, contrats, stock et publications multi-banque.</w:t>
            </w:r>
          </w:p>
        </w:tc>
      </w:tr>
      <w:tr>
        <w:tc>
          <w:tcPr>
            <w:tcW w:type="dxa" w:w="2600"/>
          </w:tcPr>
          <w:p>
            <w:r>
              <w:rPr>
                <w:rFonts w:ascii="Calibri" w:hAnsi="Calibri"/>
                <w:color w:val="202124"/>
                <w:sz w:val="18"/>
              </w:rPr>
              <w:t>R6 — Financement / IA</w:t>
            </w:r>
          </w:p>
        </w:tc>
        <w:tc>
          <w:tcPr>
            <w:tcW w:type="dxa" w:w="1450"/>
          </w:tcPr>
          <w:p>
            <w:r>
              <w:rPr>
                <w:rFonts w:ascii="Calibri" w:hAnsi="Calibri"/>
                <w:color w:val="202124"/>
                <w:sz w:val="18"/>
              </w:rPr>
              <w:t>S9–S10</w:t>
            </w:r>
          </w:p>
        </w:tc>
        <w:tc>
          <w:tcPr>
            <w:tcW w:type="dxa" w:w="5310"/>
          </w:tcPr>
          <w:p>
            <w:r>
              <w:rPr>
                <w:rFonts w:ascii="Calibri" w:hAnsi="Calibri"/>
                <w:color w:val="202124"/>
                <w:sz w:val="18"/>
              </w:rPr>
              <w:t>Inscription client, dossier, pièces, décision banque, réservation et assistant IA.</w:t>
            </w:r>
          </w:p>
        </w:tc>
      </w:tr>
      <w:tr>
        <w:tc>
          <w:tcPr>
            <w:tcW w:type="dxa" w:w="2600"/>
          </w:tcPr>
          <w:p>
            <w:r>
              <w:rPr>
                <w:rFonts w:ascii="Calibri" w:hAnsi="Calibri"/>
                <w:color w:val="202124"/>
                <w:sz w:val="18"/>
              </w:rPr>
              <w:t>R7 — Livraison</w:t>
            </w:r>
          </w:p>
        </w:tc>
        <w:tc>
          <w:tcPr>
            <w:tcW w:type="dxa" w:w="1450"/>
          </w:tcPr>
          <w:p>
            <w:r>
              <w:rPr>
                <w:rFonts w:ascii="Calibri" w:hAnsi="Calibri"/>
                <w:color w:val="202124"/>
                <w:sz w:val="18"/>
              </w:rPr>
              <w:t>S11–S12</w:t>
            </w:r>
          </w:p>
        </w:tc>
        <w:tc>
          <w:tcPr>
            <w:tcW w:type="dxa" w:w="5310"/>
          </w:tcPr>
          <w:p>
            <w:r>
              <w:rPr>
                <w:rFonts w:ascii="Calibri" w:hAnsi="Calibri"/>
                <w:color w:val="202124"/>
                <w:sz w:val="18"/>
              </w:rPr>
              <w:t>Tests, SonarQube, Docker, Jenkins, registry et déploiement Azure.</w:t>
            </w:r>
          </w:p>
        </w:tc>
      </w:tr>
    </w:tbl>
    <w:p>
      <w:pPr>
        <w:spacing w:after="60"/>
      </w:pPr>
    </w:p>
    <w:p>
      <w:pPr>
        <w:pStyle w:val="Heading2"/>
      </w:pPr>
      <w:r>
        <w:rPr>
          <w:rFonts w:ascii="Calibri" w:hAnsi="Calibri"/>
        </w:rPr>
        <w:t>1.6 Conclusion</w:t>
      </w:r>
    </w:p>
    <w:p>
      <w:r>
        <w:rPr>
          <w:rFonts w:ascii="Calibri" w:hAnsi="Calibri"/>
        </w:rPr>
        <w:t>Matchia répond au besoin de mutualiser une plateforme de marketplace bancaire sans supprimer l’autonomie de chaque banque. Le chapitre suivant traduit ce contexte en besoins vérifiables, en règles métier et en backlog, sans introduire les diagrammes UML de conception qui seront regroupés au chapitre 3.</w:t>
      </w:r>
    </w:p>
    <w:p>
      <w:r>
        <w:br w:type="page"/>
      </w:r>
    </w:p>
    <w:p>
      <w:pPr>
        <w:pStyle w:val="Heading1"/>
      </w:pPr>
      <w:r>
        <w:rPr>
          <w:rFonts w:ascii="Calibri" w:hAnsi="Calibri"/>
        </w:rPr>
        <w:t>Chapitre 2 — Analyse et spécification des besoins</w:t>
      </w:r>
    </w:p>
    <w:p>
      <w:r>
        <w:rPr>
          <w:rFonts w:ascii="Calibri" w:hAnsi="Calibri"/>
        </w:rPr>
        <w:t>Ce chapitre transforme la problématique en exigences métier et techniques. Il identifie les acteurs, les besoins fonctionnels et non fonctionnels, les règles de gestion et le choix du modèle SaaS multi-tenant. Conformément au découpage retenu, les diagrammes de cas d’utilisation et de classes sont présentés uniquement au chapitre 3.</w:t>
      </w:r>
    </w:p>
    <w:p>
      <w:pPr>
        <w:pStyle w:val="Heading2"/>
      </w:pPr>
      <w:r>
        <w:rPr>
          <w:rFonts w:ascii="Calibri" w:hAnsi="Calibri"/>
        </w:rPr>
        <w:t>2.1 Acteurs et responsabilités</w:t>
      </w:r>
    </w:p>
    <w:tbl>
      <w:tblPr>
        <w:tblStyle w:val="TableGrid"/>
        <w:tblW w:type="dxa" w:w="9360"/>
        <w:jc w:val="left"/>
        <w:tblLayout w:type="fixed"/>
        <w:tblLook w:firstColumn="1" w:firstRow="1" w:lastColumn="0" w:lastRow="0" w:noHBand="0" w:noVBand="1" w:val="04A0"/>
        <w:tblInd w:w="120" w:type="dxa"/>
      </w:tblPr>
      <w:tblGrid>
        <w:gridCol w:w="1750"/>
        <w:gridCol w:w="4950"/>
        <w:gridCol w:w="2660"/>
      </w:tblGrid>
      <w:tr>
        <w:trPr>
          <w:tblHeader w:val="true"/>
        </w:trPr>
        <w:tc>
          <w:tcPr>
            <w:tcW w:type="dxa" w:w="1750"/>
            <w:tcMar>
              <w:top w:w="80" w:type="dxa"/>
              <w:start w:w="120" w:type="dxa"/>
              <w:bottom w:w="80" w:type="dxa"/>
              <w:end w:w="120" w:type="dxa"/>
            </w:tcMar>
            <w:shd w:fill="F4F6F9"/>
          </w:tcPr>
          <w:p>
            <w:r>
              <w:rPr>
                <w:rFonts w:ascii="Calibri" w:hAnsi="Calibri"/>
                <w:b/>
                <w:color w:val="202124"/>
                <w:sz w:val="18"/>
              </w:rPr>
              <w:t>Acteur</w:t>
            </w:r>
          </w:p>
        </w:tc>
        <w:tc>
          <w:tcPr>
            <w:tcW w:type="dxa" w:w="4950"/>
            <w:tcMar>
              <w:top w:w="80" w:type="dxa"/>
              <w:start w:w="120" w:type="dxa"/>
              <w:bottom w:w="80" w:type="dxa"/>
              <w:end w:w="120" w:type="dxa"/>
            </w:tcMar>
            <w:shd w:fill="F4F6F9"/>
          </w:tcPr>
          <w:p>
            <w:r>
              <w:rPr>
                <w:rFonts w:ascii="Calibri" w:hAnsi="Calibri"/>
                <w:b/>
                <w:color w:val="202124"/>
                <w:sz w:val="18"/>
              </w:rPr>
              <w:t>Responsabilités principales</w:t>
            </w:r>
          </w:p>
        </w:tc>
        <w:tc>
          <w:tcPr>
            <w:tcW w:type="dxa" w:w="2660"/>
            <w:tcMar>
              <w:top w:w="80" w:type="dxa"/>
              <w:start w:w="120" w:type="dxa"/>
              <w:bottom w:w="80" w:type="dxa"/>
              <w:end w:w="120" w:type="dxa"/>
            </w:tcMar>
            <w:shd w:fill="F4F6F9"/>
          </w:tcPr>
          <w:p>
            <w:r>
              <w:rPr>
                <w:rFonts w:ascii="Calibri" w:hAnsi="Calibri"/>
                <w:b/>
                <w:color w:val="202124"/>
                <w:sz w:val="18"/>
              </w:rPr>
              <w:t>Restriction structurante</w:t>
            </w:r>
          </w:p>
        </w:tc>
      </w:tr>
      <w:tr>
        <w:tc>
          <w:tcPr>
            <w:tcW w:type="dxa" w:w="1750"/>
          </w:tcPr>
          <w:p>
            <w:r>
              <w:rPr>
                <w:rFonts w:ascii="Calibri" w:hAnsi="Calibri"/>
                <w:color w:val="202124"/>
                <w:sz w:val="18"/>
              </w:rPr>
              <w:t>Administrateur SaaS</w:t>
            </w:r>
          </w:p>
        </w:tc>
        <w:tc>
          <w:tcPr>
            <w:tcW w:type="dxa" w:w="4950"/>
          </w:tcPr>
          <w:p>
            <w:r>
              <w:rPr>
                <w:rFonts w:ascii="Calibri" w:hAnsi="Calibri"/>
                <w:color w:val="202124"/>
                <w:sz w:val="18"/>
              </w:rPr>
              <w:t>Gouverne banques, demandes, stores, modules, abonnements, paiements, audit et IA.</w:t>
            </w:r>
          </w:p>
        </w:tc>
        <w:tc>
          <w:tcPr>
            <w:tcW w:type="dxa" w:w="2660"/>
          </w:tcPr>
          <w:p>
            <w:r>
              <w:rPr>
                <w:rFonts w:ascii="Calibri" w:hAnsi="Calibri"/>
                <w:color w:val="202124"/>
                <w:sz w:val="18"/>
              </w:rPr>
              <w:t>Ne se substitue pas à l’administration opérationnelle d’une banque.</w:t>
            </w:r>
          </w:p>
        </w:tc>
      </w:tr>
      <w:tr>
        <w:tc>
          <w:tcPr>
            <w:tcW w:type="dxa" w:w="1750"/>
          </w:tcPr>
          <w:p>
            <w:r>
              <w:rPr>
                <w:rFonts w:ascii="Calibri" w:hAnsi="Calibri"/>
                <w:color w:val="202124"/>
                <w:sz w:val="18"/>
              </w:rPr>
              <w:t>Administrateur Banque</w:t>
            </w:r>
          </w:p>
        </w:tc>
        <w:tc>
          <w:tcPr>
            <w:tcW w:type="dxa" w:w="4950"/>
          </w:tcPr>
          <w:p>
            <w:r>
              <w:rPr>
                <w:rFonts w:ascii="Calibri" w:hAnsi="Calibri"/>
                <w:color w:val="202124"/>
                <w:sz w:val="18"/>
              </w:rPr>
              <w:t>Configure son tenant, ses utilisateurs, contenus, produits, partenaires et dossiers.</w:t>
            </w:r>
          </w:p>
        </w:tc>
        <w:tc>
          <w:tcPr>
            <w:tcW w:type="dxa" w:w="2660"/>
          </w:tcPr>
          <w:p>
            <w:r>
              <w:rPr>
                <w:rFonts w:ascii="Calibri" w:hAnsi="Calibri"/>
                <w:color w:val="202124"/>
                <w:sz w:val="18"/>
              </w:rPr>
              <w:t>Accès limité à sa banque et à ses ressources associées.</w:t>
            </w:r>
          </w:p>
        </w:tc>
      </w:tr>
      <w:tr>
        <w:tc>
          <w:tcPr>
            <w:tcW w:type="dxa" w:w="1750"/>
          </w:tcPr>
          <w:p>
            <w:r>
              <w:rPr>
                <w:rFonts w:ascii="Calibri" w:hAnsi="Calibri"/>
                <w:color w:val="202124"/>
                <w:sz w:val="18"/>
              </w:rPr>
              <w:t>Concessionnaire</w:t>
            </w:r>
          </w:p>
        </w:tc>
        <w:tc>
          <w:tcPr>
            <w:tcW w:type="dxa" w:w="4950"/>
          </w:tcPr>
          <w:p>
            <w:r>
              <w:rPr>
                <w:rFonts w:ascii="Calibri" w:hAnsi="Calibri"/>
                <w:color w:val="202124"/>
                <w:sz w:val="18"/>
              </w:rPr>
              <w:t>Gère profil, catalogue, stock, partenariats, contrats, publications et suivi des dossiers liés à ses produits.</w:t>
            </w:r>
          </w:p>
        </w:tc>
        <w:tc>
          <w:tcPr>
            <w:tcW w:type="dxa" w:w="2660"/>
          </w:tcPr>
          <w:p>
            <w:r>
              <w:rPr>
                <w:rFonts w:ascii="Calibri" w:hAnsi="Calibri"/>
                <w:color w:val="202124"/>
                <w:sz w:val="18"/>
              </w:rPr>
              <w:t>Ne décide ni publication bancaire ni financement.</w:t>
            </w:r>
          </w:p>
        </w:tc>
      </w:tr>
      <w:tr>
        <w:tc>
          <w:tcPr>
            <w:tcW w:type="dxa" w:w="1750"/>
          </w:tcPr>
          <w:p>
            <w:r>
              <w:rPr>
                <w:rFonts w:ascii="Calibri" w:hAnsi="Calibri"/>
                <w:color w:val="202124"/>
                <w:sz w:val="18"/>
              </w:rPr>
              <w:t>Client</w:t>
            </w:r>
          </w:p>
        </w:tc>
        <w:tc>
          <w:tcPr>
            <w:tcW w:type="dxa" w:w="4950"/>
          </w:tcPr>
          <w:p>
            <w:r>
              <w:rPr>
                <w:rFonts w:ascii="Calibri" w:hAnsi="Calibri"/>
                <w:color w:val="202124"/>
                <w:sz w:val="18"/>
              </w:rPr>
              <w:t>S’inscrit dans une marketplace, simule, constitue et suit ses demandes.</w:t>
            </w:r>
          </w:p>
        </w:tc>
        <w:tc>
          <w:tcPr>
            <w:tcW w:type="dxa" w:w="2660"/>
          </w:tcPr>
          <w:p>
            <w:r>
              <w:rPr>
                <w:rFonts w:ascii="Calibri" w:hAnsi="Calibri"/>
                <w:color w:val="202124"/>
                <w:sz w:val="18"/>
              </w:rPr>
              <w:t>Ne consulte que ses propres données.</w:t>
            </w:r>
          </w:p>
        </w:tc>
      </w:tr>
      <w:tr>
        <w:tc>
          <w:tcPr>
            <w:tcW w:type="dxa" w:w="1750"/>
          </w:tcPr>
          <w:p>
            <w:r>
              <w:rPr>
                <w:rFonts w:ascii="Calibri" w:hAnsi="Calibri"/>
                <w:color w:val="202124"/>
                <w:sz w:val="18"/>
              </w:rPr>
              <w:t>Internaute</w:t>
            </w:r>
          </w:p>
        </w:tc>
        <w:tc>
          <w:tcPr>
            <w:tcW w:type="dxa" w:w="4950"/>
          </w:tcPr>
          <w:p>
            <w:r>
              <w:rPr>
                <w:rFonts w:ascii="Calibri" w:hAnsi="Calibri"/>
                <w:color w:val="202124"/>
                <w:sz w:val="18"/>
              </w:rPr>
              <w:t>Consulte les contenus publics et initie les inscriptions publiques.</w:t>
            </w:r>
          </w:p>
        </w:tc>
        <w:tc>
          <w:tcPr>
            <w:tcW w:type="dxa" w:w="2660"/>
          </w:tcPr>
          <w:p>
            <w:r>
              <w:rPr>
                <w:rFonts w:ascii="Calibri" w:hAnsi="Calibri"/>
                <w:color w:val="202124"/>
                <w:sz w:val="18"/>
              </w:rPr>
              <w:t>Aucun accès aux espaces protégés.</w:t>
            </w:r>
          </w:p>
        </w:tc>
      </w:tr>
      <w:tr>
        <w:tc>
          <w:tcPr>
            <w:tcW w:type="dxa" w:w="1750"/>
          </w:tcPr>
          <w:p>
            <w:r>
              <w:rPr>
                <w:rFonts w:ascii="Calibri" w:hAnsi="Calibri"/>
                <w:color w:val="202124"/>
                <w:sz w:val="18"/>
              </w:rPr>
              <w:t>Stripe / SMTP / Gemini</w:t>
            </w:r>
          </w:p>
        </w:tc>
        <w:tc>
          <w:tcPr>
            <w:tcW w:type="dxa" w:w="4950"/>
          </w:tcPr>
          <w:p>
            <w:r>
              <w:rPr>
                <w:rFonts w:ascii="Calibri" w:hAnsi="Calibri"/>
                <w:color w:val="202124"/>
                <w:sz w:val="18"/>
              </w:rPr>
              <w:t>Paiement, e-mails et service IA via le backend.</w:t>
            </w:r>
          </w:p>
        </w:tc>
        <w:tc>
          <w:tcPr>
            <w:tcW w:type="dxa" w:w="2660"/>
          </w:tcPr>
          <w:p>
            <w:r>
              <w:rPr>
                <w:rFonts w:ascii="Calibri" w:hAnsi="Calibri"/>
                <w:color w:val="202124"/>
                <w:sz w:val="18"/>
              </w:rPr>
              <w:t>Aucun accès direct aux données métier de la base.</w:t>
            </w:r>
          </w:p>
        </w:tc>
      </w:tr>
    </w:tbl>
    <w:p>
      <w:pPr>
        <w:spacing w:after="60"/>
      </w:pPr>
    </w:p>
    <w:p>
      <w:pPr>
        <w:pStyle w:val="Heading2"/>
      </w:pPr>
      <w:r>
        <w:rPr>
          <w:rFonts w:ascii="Calibri" w:hAnsi="Calibri"/>
        </w:rPr>
        <w:t>2.2 Besoins fonctionnels</w:t>
      </w:r>
    </w:p>
    <w:p>
      <w:pPr>
        <w:pStyle w:val="Heading3"/>
      </w:pPr>
      <w:r>
        <w:rPr>
          <w:rFonts w:ascii="Calibri" w:hAnsi="Calibri"/>
        </w:rPr>
        <w:t>2.2.1 Gouvernance SaaS et onboarding</w:t>
      </w:r>
    </w:p>
    <w:p>
      <w:r>
        <w:rPr>
          <w:rFonts w:ascii="Calibri" w:hAnsi="Calibri"/>
        </w:rPr>
        <w:t>La plateforme doit permettre la création d’une demande de marketplace, la vérification de l’adresse e-mail, la sélection des stores et modules, le traitement SaaS, l’approbation ou le rejet, puis l’activation conditionnelle au paiement. Le back-office SaaS centralise aussi les banques, offres, abonnements, paiements, utilisateurs, concessionnaires, contenu et journaux d’audit.</w:t>
      </w:r>
    </w:p>
    <w:p>
      <w:pPr>
        <w:pStyle w:val="Heading3"/>
      </w:pPr>
      <w:r>
        <w:rPr>
          <w:rFonts w:ascii="Calibri" w:hAnsi="Calibri"/>
        </w:rPr>
        <w:t>2.2.2 Marketplace personnalisable</w:t>
      </w:r>
    </w:p>
    <w:p>
      <w:r>
        <w:rPr>
          <w:rFonts w:ascii="Calibri" w:hAnsi="Calibri"/>
        </w:rPr>
        <w:t>Chaque banque doit disposer d’une marketplace identifiée par un slug et configurable par son branding, ses bannières, ses contenus, ses stores, ses modules et ses produits. Les modules tels que le simulateur ou le comparateur ne sont visibles que lorsqu’ils sont activés dans le périmètre autorisé.</w:t>
      </w:r>
    </w:p>
    <w:p>
      <w:pPr>
        <w:pStyle w:val="Heading3"/>
      </w:pPr>
      <w:r>
        <w:rPr>
          <w:rFonts w:ascii="Calibri" w:hAnsi="Calibri"/>
        </w:rPr>
        <w:t>2.2.3 Cycle concessionnaire</w:t>
      </w:r>
    </w:p>
    <w:p>
      <w:r>
        <w:rPr>
          <w:rFonts w:ascii="Calibri" w:hAnsi="Calibri"/>
        </w:rPr>
        <w:t>Le système doit gérer une demande de compte concessionnaire, son instruction SaaS, les partenariats banque–concessionnaire, les contrats, le catalogue et le stock. La publication publique d’un produit nécessite un partenariat et un contrat valides ainsi qu’une décision explicite de la banque concernée.</w:t>
      </w:r>
    </w:p>
    <w:p>
      <w:pPr>
        <w:pStyle w:val="Heading3"/>
      </w:pPr>
      <w:r>
        <w:rPr>
          <w:rFonts w:ascii="Calibri" w:hAnsi="Calibri"/>
        </w:rPr>
        <w:t>2.2.4 Financement client</w:t>
      </w:r>
    </w:p>
    <w:p>
      <w:r>
        <w:rPr>
          <w:rFonts w:ascii="Calibri" w:hAnsi="Calibri"/>
        </w:rPr>
        <w:t>Le client doit pouvoir s’inscrire dans le contexte d’une banque, créer un brouillon, déposer les documents exigés, soumettre un dossier et suivre sa décision. L’administrateur Banque instruit exclusivement les demandes de son tenant. En cas d’acceptation d’un produit concessionnaire, le stock est réservé.</w:t>
      </w:r>
    </w:p>
    <w:p>
      <w:pPr>
        <w:pStyle w:val="Heading3"/>
      </w:pPr>
      <w:r>
        <w:rPr>
          <w:rFonts w:ascii="Calibri" w:hAnsi="Calibri"/>
        </w:rPr>
        <w:t>2.2.5 Transversalité</w:t>
      </w:r>
    </w:p>
    <w:p>
      <w:r>
        <w:rPr>
          <w:rFonts w:ascii="Calibri" w:hAnsi="Calibri"/>
        </w:rPr>
        <w:t>Des services de notifications persistées, d’e-mails, d’audit et d’assistant IA analytique soutiennent les parcours. L’assistant est réservé à l’administrateur SaaS et limite ses accès à des requêtes de lecture contrôlées.</w:t>
      </w:r>
    </w:p>
    <w:p>
      <w:pPr>
        <w:pStyle w:val="Heading2"/>
      </w:pPr>
      <w:r>
        <w:rPr>
          <w:rFonts w:ascii="Calibri" w:hAnsi="Calibri"/>
        </w:rPr>
        <w:t>2.3 Besoins non fonctionnels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shd w:fill="F4F6F9"/>
          </w:tcPr>
          <w:p>
            <w:r>
              <w:rPr>
                <w:rFonts w:ascii="Calibri" w:hAnsi="Calibri"/>
                <w:b/>
                <w:color w:val="202124"/>
                <w:sz w:val="18"/>
              </w:rPr>
              <w:t>Catégorie</w:t>
            </w:r>
          </w:p>
        </w:tc>
        <w:tc>
          <w:tcPr>
            <w:tcW w:type="dxa" w:w="6660"/>
            <w:tcMar>
              <w:top w:w="80" w:type="dxa"/>
              <w:start w:w="120" w:type="dxa"/>
              <w:bottom w:w="80" w:type="dxa"/>
              <w:end w:w="120" w:type="dxa"/>
            </w:tcMar>
            <w:shd w:fill="F4F6F9"/>
          </w:tcPr>
          <w:p>
            <w:r>
              <w:rPr>
                <w:rFonts w:ascii="Calibri" w:hAnsi="Calibri"/>
                <w:b/>
                <w:color w:val="202124"/>
                <w:sz w:val="18"/>
              </w:rPr>
              <w:t>Exigence issue du projet</w:t>
            </w:r>
          </w:p>
        </w:tc>
      </w:tr>
      <w:tr>
        <w:tc>
          <w:tcPr>
            <w:tcW w:type="dxa" w:w="2700"/>
          </w:tcPr>
          <w:p>
            <w:r>
              <w:rPr>
                <w:rFonts w:ascii="Calibri" w:hAnsi="Calibri"/>
                <w:color w:val="202124"/>
                <w:sz w:val="18"/>
              </w:rPr>
              <w:t>Sécurité</w:t>
            </w:r>
          </w:p>
        </w:tc>
        <w:tc>
          <w:tcPr>
            <w:tcW w:type="dxa" w:w="6660"/>
          </w:tcPr>
          <w:p>
            <w:r>
              <w:rPr>
                <w:rFonts w:ascii="Calibri" w:hAnsi="Calibri"/>
                <w:color w:val="202124"/>
                <w:sz w:val="18"/>
              </w:rPr>
              <w:t>Authentification JWT, refresh token, routes protégées, rôles et contrôles d’appartenance tenant.</w:t>
            </w:r>
          </w:p>
        </w:tc>
      </w:tr>
      <w:tr>
        <w:tc>
          <w:tcPr>
            <w:tcW w:type="dxa" w:w="2700"/>
          </w:tcPr>
          <w:p>
            <w:r>
              <w:rPr>
                <w:rFonts w:ascii="Calibri" w:hAnsi="Calibri"/>
                <w:color w:val="202124"/>
                <w:sz w:val="18"/>
              </w:rPr>
              <w:t>Fiabilité</w:t>
            </w:r>
          </w:p>
        </w:tc>
        <w:tc>
          <w:tcPr>
            <w:tcW w:type="dxa" w:w="6660"/>
          </w:tcPr>
          <w:p>
            <w:r>
              <w:rPr>
                <w:rFonts w:ascii="Calibri" w:hAnsi="Calibri"/>
                <w:color w:val="202124"/>
                <w:sz w:val="18"/>
              </w:rPr>
              <w:t>Validations serveur, statuts contrôlés, transactions de traitement et journal d’audit.</w:t>
            </w:r>
          </w:p>
        </w:tc>
      </w:tr>
      <w:tr>
        <w:tc>
          <w:tcPr>
            <w:tcW w:type="dxa" w:w="2700"/>
          </w:tcPr>
          <w:p>
            <w:r>
              <w:rPr>
                <w:rFonts w:ascii="Calibri" w:hAnsi="Calibri"/>
                <w:color w:val="202124"/>
                <w:sz w:val="18"/>
              </w:rPr>
              <w:t>Maintenabilité</w:t>
            </w:r>
          </w:p>
        </w:tc>
        <w:tc>
          <w:tcPr>
            <w:tcW w:type="dxa" w:w="6660"/>
          </w:tcPr>
          <w:p>
            <w:r>
              <w:rPr>
                <w:rFonts w:ascii="Calibri" w:hAnsi="Calibri"/>
                <w:color w:val="202124"/>
                <w:sz w:val="18"/>
              </w:rPr>
              <w:t>Séparation React/services HTTP et Spring controller/service/repository, DTO et tests.</w:t>
            </w:r>
          </w:p>
        </w:tc>
      </w:tr>
      <w:tr>
        <w:tc>
          <w:tcPr>
            <w:tcW w:type="dxa" w:w="2700"/>
          </w:tcPr>
          <w:p>
            <w:r>
              <w:rPr>
                <w:rFonts w:ascii="Calibri" w:hAnsi="Calibri"/>
                <w:color w:val="202124"/>
                <w:sz w:val="18"/>
              </w:rPr>
              <w:t>Performance</w:t>
            </w:r>
          </w:p>
        </w:tc>
        <w:tc>
          <w:tcPr>
            <w:tcW w:type="dxa" w:w="6660"/>
          </w:tcPr>
          <w:p>
            <w:r>
              <w:rPr>
                <w:rFonts w:ascii="Calibri" w:hAnsi="Calibri"/>
                <w:color w:val="202124"/>
                <w:sz w:val="18"/>
              </w:rPr>
              <w:t>SPA compilée par Vite, API REST, pagination/recherche et requêtes IA bornées.</w:t>
            </w:r>
          </w:p>
        </w:tc>
      </w:tr>
      <w:tr>
        <w:tc>
          <w:tcPr>
            <w:tcW w:type="dxa" w:w="2700"/>
          </w:tcPr>
          <w:p>
            <w:r>
              <w:rPr>
                <w:rFonts w:ascii="Calibri" w:hAnsi="Calibri"/>
                <w:color w:val="202124"/>
                <w:sz w:val="18"/>
              </w:rPr>
              <w:t>Traçabilité</w:t>
            </w:r>
          </w:p>
        </w:tc>
        <w:tc>
          <w:tcPr>
            <w:tcW w:type="dxa" w:w="6660"/>
          </w:tcPr>
          <w:p>
            <w:r>
              <w:rPr>
                <w:rFonts w:ascii="Calibri" w:hAnsi="Calibri"/>
                <w:color w:val="202124"/>
                <w:sz w:val="18"/>
              </w:rPr>
              <w:t>Notifications, e-mails, décisions motivées, historique des paiements et audit.</w:t>
            </w:r>
          </w:p>
        </w:tc>
      </w:tr>
      <w:tr>
        <w:tc>
          <w:tcPr>
            <w:tcW w:type="dxa" w:w="2700"/>
          </w:tcPr>
          <w:p>
            <w:r>
              <w:rPr>
                <w:rFonts w:ascii="Calibri" w:hAnsi="Calibri"/>
                <w:color w:val="202124"/>
                <w:sz w:val="18"/>
              </w:rPr>
              <w:t>Déployabilité</w:t>
            </w:r>
          </w:p>
        </w:tc>
        <w:tc>
          <w:tcPr>
            <w:tcW w:type="dxa" w:w="6660"/>
          </w:tcPr>
          <w:p>
            <w:r>
              <w:rPr>
                <w:rFonts w:ascii="Calibri" w:hAnsi="Calibri"/>
                <w:color w:val="202124"/>
                <w:sz w:val="18"/>
              </w:rPr>
              <w:t>Docker, Docker Compose, Jenkins, SonarQube, Docker Hub et Azure Container Apps.</w:t>
            </w:r>
          </w:p>
        </w:tc>
      </w:tr>
    </w:tbl>
    <w:p>
      <w:pPr>
        <w:spacing w:after="60"/>
      </w:pPr>
    </w:p>
    <w:p>
      <w:pPr>
        <w:pStyle w:val="Heading2"/>
      </w:pPr>
      <w:r>
        <w:rPr>
          <w:rFonts w:ascii="Calibri" w:hAnsi="Calibri"/>
        </w:rPr>
        <w:t>2.4 SaaS et multi-tenance</w:t>
      </w:r>
    </w:p>
    <w:p>
      <w:r>
        <w:rPr>
          <w:rFonts w:ascii="Calibri" w:hAnsi="Calibri"/>
        </w:rPr>
        <w:t>Le modèle SaaS fournit un socle applicatif unique à plusieurs organisations. Dans Matchia, la banque joue le rôle de tenant logique : elle est reliée à la marketplace, aux utilisateurs, aux contenus, aux abonnements et aux opérations métier. Cette approche distingue la configuration — branding, stores, modules et contenus — du code applicatif commun.</w:t>
      </w:r>
    </w:p>
    <w:tbl>
      <w:tblPr>
        <w:tblStyle w:val="TableGrid"/>
        <w:tblW w:type="dxa" w:w="9360"/>
        <w:jc w:val="left"/>
        <w:tblLayout w:type="fixed"/>
        <w:tblLook w:firstColumn="1" w:firstRow="1" w:lastColumn="0" w:lastRow="0" w:noHBand="0" w:noVBand="1" w:val="04A0"/>
        <w:tblInd w:w="120" w:type="dxa"/>
      </w:tblPr>
      <w:tblGrid>
        <w:gridCol w:w="2200"/>
        <w:gridCol w:w="3850"/>
        <w:gridCol w:w="3310"/>
      </w:tblGrid>
      <w:tr>
        <w:trPr>
          <w:tblHeader w:val="true"/>
        </w:trPr>
        <w:tc>
          <w:tcPr>
            <w:tcW w:type="dxa" w:w="2200"/>
            <w:tcMar>
              <w:top w:w="80" w:type="dxa"/>
              <w:start w:w="120" w:type="dxa"/>
              <w:bottom w:w="80" w:type="dxa"/>
              <w:end w:w="120" w:type="dxa"/>
            </w:tcMar>
            <w:shd w:fill="F4F6F9"/>
          </w:tcPr>
          <w:p>
            <w:r>
              <w:rPr>
                <w:rFonts w:ascii="Calibri" w:hAnsi="Calibri"/>
                <w:b/>
                <w:color w:val="202124"/>
                <w:sz w:val="18"/>
              </w:rPr>
              <w:t>Stratégie</w:t>
            </w:r>
          </w:p>
        </w:tc>
        <w:tc>
          <w:tcPr>
            <w:tcW w:type="dxa" w:w="3850"/>
            <w:tcMar>
              <w:top w:w="80" w:type="dxa"/>
              <w:start w:w="120" w:type="dxa"/>
              <w:bottom w:w="80" w:type="dxa"/>
              <w:end w:w="120" w:type="dxa"/>
            </w:tcMar>
            <w:shd w:fill="F4F6F9"/>
          </w:tcPr>
          <w:p>
            <w:r>
              <w:rPr>
                <w:rFonts w:ascii="Calibri" w:hAnsi="Calibri"/>
                <w:b/>
                <w:color w:val="202124"/>
                <w:sz w:val="18"/>
              </w:rPr>
              <w:t>Avantages</w:t>
            </w:r>
          </w:p>
        </w:tc>
        <w:tc>
          <w:tcPr>
            <w:tcW w:type="dxa" w:w="3310"/>
            <w:tcMar>
              <w:top w:w="80" w:type="dxa"/>
              <w:start w:w="120" w:type="dxa"/>
              <w:bottom w:w="80" w:type="dxa"/>
              <w:end w:w="120" w:type="dxa"/>
            </w:tcMar>
            <w:shd w:fill="F4F6F9"/>
          </w:tcPr>
          <w:p>
            <w:r>
              <w:rPr>
                <w:rFonts w:ascii="Calibri" w:hAnsi="Calibri"/>
                <w:b/>
                <w:color w:val="202124"/>
                <w:sz w:val="18"/>
              </w:rPr>
              <w:t>Décision pour Matchia</w:t>
            </w:r>
          </w:p>
        </w:tc>
      </w:tr>
      <w:tr>
        <w:tc>
          <w:tcPr>
            <w:tcW w:type="dxa" w:w="2200"/>
          </w:tcPr>
          <w:p>
            <w:r>
              <w:rPr>
                <w:rFonts w:ascii="Calibri" w:hAnsi="Calibri"/>
                <w:color w:val="202124"/>
                <w:sz w:val="18"/>
              </w:rPr>
              <w:t>Base par tenant</w:t>
            </w:r>
          </w:p>
        </w:tc>
        <w:tc>
          <w:tcPr>
            <w:tcW w:type="dxa" w:w="3850"/>
          </w:tcPr>
          <w:p>
            <w:r>
              <w:rPr>
                <w:rFonts w:ascii="Calibri" w:hAnsi="Calibri"/>
                <w:color w:val="202124"/>
                <w:sz w:val="18"/>
              </w:rPr>
              <w:t>Isolation physique renforcée ; coût et exploitation élevés.</w:t>
            </w:r>
          </w:p>
        </w:tc>
        <w:tc>
          <w:tcPr>
            <w:tcW w:type="dxa" w:w="3310"/>
          </w:tcPr>
          <w:p>
            <w:r>
              <w:rPr>
                <w:rFonts w:ascii="Calibri" w:hAnsi="Calibri"/>
                <w:color w:val="202124"/>
                <w:sz w:val="18"/>
              </w:rPr>
              <w:t>Non retenue dans le prototype.</w:t>
            </w:r>
          </w:p>
        </w:tc>
      </w:tr>
      <w:tr>
        <w:tc>
          <w:tcPr>
            <w:tcW w:type="dxa" w:w="2200"/>
          </w:tcPr>
          <w:p>
            <w:r>
              <w:rPr>
                <w:rFonts w:ascii="Calibri" w:hAnsi="Calibri"/>
                <w:color w:val="202124"/>
                <w:sz w:val="18"/>
              </w:rPr>
              <w:t>Schéma par tenant</w:t>
            </w:r>
          </w:p>
        </w:tc>
        <w:tc>
          <w:tcPr>
            <w:tcW w:type="dxa" w:w="3850"/>
          </w:tcPr>
          <w:p>
            <w:r>
              <w:rPr>
                <w:rFonts w:ascii="Calibri" w:hAnsi="Calibri"/>
                <w:color w:val="202124"/>
                <w:sz w:val="18"/>
              </w:rPr>
              <w:t>Séparation structurelle dans une même base ; migrations plus complexes.</w:t>
            </w:r>
          </w:p>
        </w:tc>
        <w:tc>
          <w:tcPr>
            <w:tcW w:type="dxa" w:w="3310"/>
          </w:tcPr>
          <w:p>
            <w:r>
              <w:rPr>
                <w:rFonts w:ascii="Calibri" w:hAnsi="Calibri"/>
                <w:color w:val="202124"/>
                <w:sz w:val="18"/>
              </w:rPr>
              <w:t>Non retenue explicitement.</w:t>
            </w:r>
          </w:p>
        </w:tc>
      </w:tr>
      <w:tr>
        <w:tc>
          <w:tcPr>
            <w:tcW w:type="dxa" w:w="2200"/>
          </w:tcPr>
          <w:p>
            <w:r>
              <w:rPr>
                <w:rFonts w:ascii="Calibri" w:hAnsi="Calibri"/>
                <w:color w:val="202124"/>
                <w:sz w:val="18"/>
              </w:rPr>
              <w:t>Base partagée, contexte tenant</w:t>
            </w:r>
          </w:p>
        </w:tc>
        <w:tc>
          <w:tcPr>
            <w:tcW w:type="dxa" w:w="3850"/>
          </w:tcPr>
          <w:p>
            <w:r>
              <w:rPr>
                <w:rFonts w:ascii="Calibri" w:hAnsi="Calibri"/>
                <w:color w:val="202124"/>
                <w:sz w:val="18"/>
              </w:rPr>
              <w:t>Mutualisation et déploiement unique ; nécessite des contrôles systématiques.</w:t>
            </w:r>
          </w:p>
        </w:tc>
        <w:tc>
          <w:tcPr>
            <w:tcW w:type="dxa" w:w="3310"/>
          </w:tcPr>
          <w:p>
            <w:r>
              <w:rPr>
                <w:rFonts w:ascii="Calibri" w:hAnsi="Calibri"/>
                <w:color w:val="202124"/>
                <w:sz w:val="18"/>
              </w:rPr>
              <w:t>Retenue : isolation logique pilotée par Bank et contrôles d’accès.</w:t>
            </w:r>
          </w:p>
        </w:tc>
      </w:tr>
    </w:tbl>
    <w:p>
      <w:pPr>
        <w:spacing w:after="60"/>
      </w:pPr>
    </w:p>
    <w:p>
      <w:r>
        <w:rPr>
          <w:rFonts w:ascii="Calibri" w:hAnsi="Calibri"/>
        </w:rPr>
        <w:t>Ce choix est justifié par la nécessité de mutualiser les évolutions et le pipeline tout en permettant à chaque banque de conserver une expérience personnalisée. Le catalogue concessionnaire est centralisé mais les partenariats et publications restent contextualisés par banque, ce qui préserve le pouvoir de décision du tenant.</w:t>
      </w:r>
    </w:p>
    <w:p>
      <w:pPr>
        <w:pStyle w:val="Heading2"/>
      </w:pPr>
      <w:r>
        <w:rPr>
          <w:rFonts w:ascii="Calibri" w:hAnsi="Calibri"/>
        </w:rPr>
        <w:t>2.5 Règles métier essentielles</w:t>
      </w:r>
    </w:p>
    <w:p>
      <w:pPr>
        <w:pStyle w:val="ListBullet"/>
      </w:pPr>
      <w:r>
        <w:rPr>
          <w:rFonts w:ascii="Calibri" w:hAnsi="Calibri"/>
        </w:rPr>
        <w:t>Une marketplace n’est active qu’après approbation SaaS et confirmation du paiement associé.</w:t>
      </w:r>
    </w:p>
    <w:p>
      <w:pPr>
        <w:pStyle w:val="ListBullet"/>
      </w:pPr>
      <w:r>
        <w:rPr>
          <w:rFonts w:ascii="Calibri" w:hAnsi="Calibri"/>
        </w:rPr>
        <w:t>Un administrateur Banque ne consulte et ne modifie que les données rattachées à sa banque.</w:t>
      </w:r>
    </w:p>
    <w:p>
      <w:pPr>
        <w:pStyle w:val="ListBullet"/>
      </w:pPr>
      <w:r>
        <w:rPr>
          <w:rFonts w:ascii="Calibri" w:hAnsi="Calibri"/>
        </w:rPr>
        <w:t>La publication d’un produit concessionnaire dépend d’un concessionnaire, partenariat, contrat, store et workflow de publication actifs.</w:t>
      </w:r>
    </w:p>
    <w:p>
      <w:pPr>
        <w:pStyle w:val="ListBullet"/>
      </w:pPr>
      <w:r>
        <w:rPr>
          <w:rFonts w:ascii="Calibri" w:hAnsi="Calibri"/>
        </w:rPr>
        <w:t>Une demande de financement doit être au statut brouillon et complète avant sa soumission à l’état PENDING.</w:t>
      </w:r>
    </w:p>
    <w:p>
      <w:pPr>
        <w:pStyle w:val="ListBullet"/>
      </w:pPr>
      <w:r>
        <w:rPr>
          <w:rFonts w:ascii="Calibri" w:hAnsi="Calibri"/>
        </w:rPr>
        <w:t>Une demande PENDING est acceptée ou rejetée par la banque ; un motif de rejet est obligatoire.</w:t>
      </w:r>
    </w:p>
    <w:p>
      <w:pPr>
        <w:pStyle w:val="ListBullet"/>
      </w:pPr>
      <w:r>
        <w:rPr>
          <w:rFonts w:ascii="Calibri" w:hAnsi="Calibri"/>
        </w:rPr>
        <w:t>La réservation du stock intervient à l’acceptation d’une demande concernant un produit concessionnaire.</w:t>
      </w:r>
    </w:p>
    <w:p>
      <w:pPr>
        <w:pStyle w:val="ListBullet"/>
      </w:pPr>
      <w:r>
        <w:rPr>
          <w:rFonts w:ascii="Calibri" w:hAnsi="Calibri"/>
        </w:rPr>
        <w:t>Les requêtes IA sont limitées à la lecture et validées avant tout accès PostgreSQL.</w:t>
      </w:r>
    </w:p>
    <w:p>
      <w:pPr>
        <w:pStyle w:val="Heading2"/>
      </w:pPr>
      <w:r>
        <w:rPr>
          <w:rFonts w:ascii="Calibri" w:hAnsi="Calibri"/>
        </w:rPr>
        <w:t>2.6 Product backlog synthétique</w:t>
      </w:r>
    </w:p>
    <w:tbl>
      <w:tblPr>
        <w:tblStyle w:val="TableGrid"/>
        <w:tblW w:type="dxa" w:w="9360"/>
        <w:jc w:val="left"/>
        <w:tblLayout w:type="fixed"/>
        <w:tblLook w:firstColumn="1" w:firstRow="1" w:lastColumn="0" w:lastRow="0" w:noHBand="0" w:noVBand="1" w:val="04A0"/>
        <w:tblInd w:w="120" w:type="dxa"/>
      </w:tblPr>
      <w:tblGrid>
        <w:gridCol w:w="1050"/>
        <w:gridCol w:w="4200"/>
        <w:gridCol w:w="4110"/>
      </w:tblGrid>
      <w:tr>
        <w:trPr>
          <w:tblHeader w:val="true"/>
        </w:trPr>
        <w:tc>
          <w:tcPr>
            <w:tcW w:type="dxa" w:w="1050"/>
            <w:tcMar>
              <w:top w:w="80" w:type="dxa"/>
              <w:start w:w="120" w:type="dxa"/>
              <w:bottom w:w="80" w:type="dxa"/>
              <w:end w:w="120" w:type="dxa"/>
            </w:tcMar>
            <w:shd w:fill="F4F6F9"/>
          </w:tcPr>
          <w:p>
            <w:r>
              <w:rPr>
                <w:rFonts w:ascii="Calibri" w:hAnsi="Calibri"/>
                <w:b/>
                <w:color w:val="202124"/>
                <w:sz w:val="18"/>
              </w:rPr>
              <w:t>Priorité</w:t>
            </w:r>
          </w:p>
        </w:tc>
        <w:tc>
          <w:tcPr>
            <w:tcW w:type="dxa" w:w="4200"/>
            <w:tcMar>
              <w:top w:w="80" w:type="dxa"/>
              <w:start w:w="120" w:type="dxa"/>
              <w:bottom w:w="80" w:type="dxa"/>
              <w:end w:w="120" w:type="dxa"/>
            </w:tcMar>
            <w:shd w:fill="F4F6F9"/>
          </w:tcPr>
          <w:p>
            <w:r>
              <w:rPr>
                <w:rFonts w:ascii="Calibri" w:hAnsi="Calibri"/>
                <w:b/>
                <w:color w:val="202124"/>
                <w:sz w:val="18"/>
              </w:rPr>
              <w:t>User story</w:t>
            </w:r>
          </w:p>
        </w:tc>
        <w:tc>
          <w:tcPr>
            <w:tcW w:type="dxa" w:w="4110"/>
            <w:tcMar>
              <w:top w:w="80" w:type="dxa"/>
              <w:start w:w="120" w:type="dxa"/>
              <w:bottom w:w="80" w:type="dxa"/>
              <w:end w:w="120" w:type="dxa"/>
            </w:tcMar>
            <w:shd w:fill="F4F6F9"/>
          </w:tcPr>
          <w:p>
            <w:r>
              <w:rPr>
                <w:rFonts w:ascii="Calibri" w:hAnsi="Calibri"/>
                <w:b/>
                <w:color w:val="202124"/>
                <w:sz w:val="18"/>
              </w:rPr>
              <w:t>Critère d’acceptation</w:t>
            </w:r>
          </w:p>
        </w:tc>
      </w:tr>
      <w:tr>
        <w:tc>
          <w:tcPr>
            <w:tcW w:type="dxa" w:w="1050"/>
          </w:tcPr>
          <w:p>
            <w:r>
              <w:rPr>
                <w:rFonts w:ascii="Calibri" w:hAnsi="Calibri"/>
                <w:color w:val="202124"/>
                <w:sz w:val="18"/>
              </w:rPr>
              <w:t>Haute</w:t>
            </w:r>
          </w:p>
        </w:tc>
        <w:tc>
          <w:tcPr>
            <w:tcW w:type="dxa" w:w="4200"/>
          </w:tcPr>
          <w:p>
            <w:r>
              <w:rPr>
                <w:rFonts w:ascii="Calibri" w:hAnsi="Calibri"/>
                <w:color w:val="202124"/>
                <w:sz w:val="18"/>
              </w:rPr>
              <w:t>En tant que SaaS, je traite une demande banque.</w:t>
            </w:r>
          </w:p>
        </w:tc>
        <w:tc>
          <w:tcPr>
            <w:tcW w:type="dxa" w:w="4110"/>
          </w:tcPr>
          <w:p>
            <w:r>
              <w:rPr>
                <w:rFonts w:ascii="Calibri" w:hAnsi="Calibri"/>
                <w:color w:val="202124"/>
                <w:sz w:val="18"/>
              </w:rPr>
              <w:t>Statut, motif éventuel et notifications sont persistés.</w:t>
            </w:r>
          </w:p>
        </w:tc>
      </w:tr>
      <w:tr>
        <w:tc>
          <w:tcPr>
            <w:tcW w:type="dxa" w:w="1050"/>
          </w:tcPr>
          <w:p>
            <w:r>
              <w:rPr>
                <w:rFonts w:ascii="Calibri" w:hAnsi="Calibri"/>
                <w:color w:val="202124"/>
                <w:sz w:val="18"/>
              </w:rPr>
              <w:t>Haute</w:t>
            </w:r>
          </w:p>
        </w:tc>
        <w:tc>
          <w:tcPr>
            <w:tcW w:type="dxa" w:w="4200"/>
          </w:tcPr>
          <w:p>
            <w:r>
              <w:rPr>
                <w:rFonts w:ascii="Calibri" w:hAnsi="Calibri"/>
                <w:color w:val="202124"/>
                <w:sz w:val="18"/>
              </w:rPr>
              <w:t>En tant que banque, je configure ma marketplace.</w:t>
            </w:r>
          </w:p>
        </w:tc>
        <w:tc>
          <w:tcPr>
            <w:tcW w:type="dxa" w:w="4110"/>
          </w:tcPr>
          <w:p>
            <w:r>
              <w:rPr>
                <w:rFonts w:ascii="Calibri" w:hAnsi="Calibri"/>
                <w:color w:val="202124"/>
                <w:sz w:val="18"/>
              </w:rPr>
              <w:t>Branding, stores et modules sont visibles uniquement dans mon tenant.</w:t>
            </w:r>
          </w:p>
        </w:tc>
      </w:tr>
      <w:tr>
        <w:tc>
          <w:tcPr>
            <w:tcW w:type="dxa" w:w="1050"/>
          </w:tcPr>
          <w:p>
            <w:r>
              <w:rPr>
                <w:rFonts w:ascii="Calibri" w:hAnsi="Calibri"/>
                <w:color w:val="202124"/>
                <w:sz w:val="18"/>
              </w:rPr>
              <w:t>Haute</w:t>
            </w:r>
          </w:p>
        </w:tc>
        <w:tc>
          <w:tcPr>
            <w:tcW w:type="dxa" w:w="4200"/>
          </w:tcPr>
          <w:p>
            <w:r>
              <w:rPr>
                <w:rFonts w:ascii="Calibri" w:hAnsi="Calibri"/>
                <w:color w:val="202124"/>
                <w:sz w:val="18"/>
              </w:rPr>
              <w:t>En tant que client, je soumets un dossier complet.</w:t>
            </w:r>
          </w:p>
        </w:tc>
        <w:tc>
          <w:tcPr>
            <w:tcW w:type="dxa" w:w="4110"/>
          </w:tcPr>
          <w:p>
            <w:r>
              <w:rPr>
                <w:rFonts w:ascii="Calibri" w:hAnsi="Calibri"/>
                <w:color w:val="202124"/>
                <w:sz w:val="18"/>
              </w:rPr>
              <w:t>Les pièces requises bloquent la soumission si absentes.</w:t>
            </w:r>
          </w:p>
        </w:tc>
      </w:tr>
      <w:tr>
        <w:tc>
          <w:tcPr>
            <w:tcW w:type="dxa" w:w="1050"/>
          </w:tcPr>
          <w:p>
            <w:r>
              <w:rPr>
                <w:rFonts w:ascii="Calibri" w:hAnsi="Calibri"/>
                <w:color w:val="202124"/>
                <w:sz w:val="18"/>
              </w:rPr>
              <w:t>Haute</w:t>
            </w:r>
          </w:p>
        </w:tc>
        <w:tc>
          <w:tcPr>
            <w:tcW w:type="dxa" w:w="4200"/>
          </w:tcPr>
          <w:p>
            <w:r>
              <w:rPr>
                <w:rFonts w:ascii="Calibri" w:hAnsi="Calibri"/>
                <w:color w:val="202124"/>
                <w:sz w:val="18"/>
              </w:rPr>
              <w:t>En tant que banque, je décide un financement.</w:t>
            </w:r>
          </w:p>
        </w:tc>
        <w:tc>
          <w:tcPr>
            <w:tcW w:type="dxa" w:w="4110"/>
          </w:tcPr>
          <w:p>
            <w:r>
              <w:rPr>
                <w:rFonts w:ascii="Calibri" w:hAnsi="Calibri"/>
                <w:color w:val="202124"/>
                <w:sz w:val="18"/>
              </w:rPr>
              <w:t>La décision est autorisée seulement sur le tenant et notifie le client.</w:t>
            </w:r>
          </w:p>
        </w:tc>
      </w:tr>
      <w:tr>
        <w:tc>
          <w:tcPr>
            <w:tcW w:type="dxa" w:w="1050"/>
          </w:tcPr>
          <w:p>
            <w:r>
              <w:rPr>
                <w:rFonts w:ascii="Calibri" w:hAnsi="Calibri"/>
                <w:color w:val="202124"/>
                <w:sz w:val="18"/>
              </w:rPr>
              <w:t>Moyenne</w:t>
            </w:r>
          </w:p>
        </w:tc>
        <w:tc>
          <w:tcPr>
            <w:tcW w:type="dxa" w:w="4200"/>
          </w:tcPr>
          <w:p>
            <w:r>
              <w:rPr>
                <w:rFonts w:ascii="Calibri" w:hAnsi="Calibri"/>
                <w:color w:val="202124"/>
                <w:sz w:val="18"/>
              </w:rPr>
              <w:t>En tant que concessionnaire, je publie un produit auprès d’une banque partenaire.</w:t>
            </w:r>
          </w:p>
        </w:tc>
        <w:tc>
          <w:tcPr>
            <w:tcW w:type="dxa" w:w="4110"/>
          </w:tcPr>
          <w:p>
            <w:r>
              <w:rPr>
                <w:rFonts w:ascii="Calibri" w:hAnsi="Calibri"/>
                <w:color w:val="202124"/>
                <w:sz w:val="18"/>
              </w:rPr>
              <w:t>La visibilité dépend de la validation bancaire et des préconditions.</w:t>
            </w:r>
          </w:p>
        </w:tc>
      </w:tr>
      <w:tr>
        <w:tc>
          <w:tcPr>
            <w:tcW w:type="dxa" w:w="1050"/>
          </w:tcPr>
          <w:p>
            <w:r>
              <w:rPr>
                <w:rFonts w:ascii="Calibri" w:hAnsi="Calibri"/>
                <w:color w:val="202124"/>
                <w:sz w:val="18"/>
              </w:rPr>
              <w:t>Moyenne</w:t>
            </w:r>
          </w:p>
        </w:tc>
        <w:tc>
          <w:tcPr>
            <w:tcW w:type="dxa" w:w="4200"/>
          </w:tcPr>
          <w:p>
            <w:r>
              <w:rPr>
                <w:rFonts w:ascii="Calibri" w:hAnsi="Calibri"/>
                <w:color w:val="202124"/>
                <w:sz w:val="18"/>
              </w:rPr>
              <w:t>En tant que SaaS, j’interroge les indicateurs via l’IA.</w:t>
            </w:r>
          </w:p>
        </w:tc>
        <w:tc>
          <w:tcPr>
            <w:tcW w:type="dxa" w:w="4110"/>
          </w:tcPr>
          <w:p>
            <w:r>
              <w:rPr>
                <w:rFonts w:ascii="Calibri" w:hAnsi="Calibri"/>
                <w:color w:val="202124"/>
                <w:sz w:val="18"/>
              </w:rPr>
              <w:t>La requête est strictement SELECT, validée et bornée.</w:t>
            </w:r>
          </w:p>
        </w:tc>
      </w:tr>
    </w:tbl>
    <w:p>
      <w:pPr>
        <w:spacing w:after="60"/>
      </w:pPr>
    </w:p>
    <w:p>
      <w:pPr>
        <w:pStyle w:val="Heading2"/>
      </w:pPr>
      <w:r>
        <w:rPr>
          <w:rFonts w:ascii="Calibri" w:hAnsi="Calibri"/>
        </w:rPr>
        <w:t>2.7 Conclusion</w:t>
      </w:r>
    </w:p>
    <w:p>
      <w:r>
        <w:rPr>
          <w:rFonts w:ascii="Calibri" w:hAnsi="Calibri"/>
        </w:rPr>
        <w:t>Les exigences confirment que Matchia est un système multi-acteurs, tenantisé et transactionnel. Le chapitre suivant expose la conception, les technologies et l’architecture, puis regroupe les diagrammes UML qui décrivent formellement ces exigences.</w:t>
      </w:r>
    </w:p>
    <w:p>
      <w:r>
        <w:br w:type="page"/>
      </w:r>
    </w:p>
    <w:p>
      <w:pPr>
        <w:pStyle w:val="Heading1"/>
      </w:pPr>
      <w:r>
        <w:rPr>
          <w:rFonts w:ascii="Calibri" w:hAnsi="Calibri"/>
        </w:rPr>
        <w:t>Chapitre 3 — Conception et architecture</w:t>
      </w:r>
    </w:p>
    <w:p>
      <w:r>
        <w:rPr>
          <w:rFonts w:ascii="Calibri" w:hAnsi="Calibri"/>
        </w:rPr>
        <w:t>Ce chapitre présente les choix techniques et l’organisation architecturale qui permettent d’implémenter les besoins. Il introduit l’environnement de travail, les technologies, les architectures physique et logique, puis les diagrammes UML fondés sur les acteurs, services et entités du projet.</w:t>
      </w:r>
    </w:p>
    <w:p>
      <w:pPr>
        <w:pStyle w:val="Heading2"/>
      </w:pPr>
      <w:r>
        <w:rPr>
          <w:rFonts w:ascii="Calibri" w:hAnsi="Calibri"/>
        </w:rPr>
        <w:t>3.1 Environnement de travail</w:t>
      </w:r>
    </w:p>
    <w:tbl>
      <w:tblPr>
        <w:tblStyle w:val="TableGrid"/>
        <w:tblW w:type="dxa" w:w="9360"/>
        <w:jc w:val="left"/>
        <w:tblLayout w:type="fixed"/>
        <w:tblLook w:firstColumn="1" w:firstRow="1" w:lastColumn="0" w:lastRow="0" w:noHBand="0" w:noVBand="1" w:val="04A0"/>
        <w:tblInd w:w="120" w:type="dxa"/>
      </w:tblPr>
      <w:tblGrid>
        <w:gridCol w:w="1800"/>
        <w:gridCol w:w="4000"/>
        <w:gridCol w:w="3560"/>
      </w:tblGrid>
      <w:tr>
        <w:trPr>
          <w:tblHeader w:val="true"/>
        </w:trPr>
        <w:tc>
          <w:tcPr>
            <w:tcW w:type="dxa" w:w="1800"/>
            <w:tcMar>
              <w:top w:w="80" w:type="dxa"/>
              <w:start w:w="120" w:type="dxa"/>
              <w:bottom w:w="80" w:type="dxa"/>
              <w:end w:w="120" w:type="dxa"/>
            </w:tcMar>
            <w:shd w:fill="F4F6F9"/>
          </w:tcPr>
          <w:p>
            <w:r>
              <w:rPr>
                <w:rFonts w:ascii="Calibri" w:hAnsi="Calibri"/>
                <w:b/>
                <w:color w:val="202124"/>
                <w:sz w:val="18"/>
              </w:rPr>
              <w:t>Catégorie</w:t>
            </w:r>
          </w:p>
        </w:tc>
        <w:tc>
          <w:tcPr>
            <w:tcW w:type="dxa" w:w="4000"/>
            <w:tcMar>
              <w:top w:w="80" w:type="dxa"/>
              <w:start w:w="120" w:type="dxa"/>
              <w:bottom w:w="80" w:type="dxa"/>
              <w:end w:w="120" w:type="dxa"/>
            </w:tcMar>
            <w:shd w:fill="F4F6F9"/>
          </w:tcPr>
          <w:p>
            <w:r>
              <w:rPr>
                <w:rFonts w:ascii="Calibri" w:hAnsi="Calibri"/>
                <w:b/>
                <w:color w:val="202124"/>
                <w:sz w:val="18"/>
              </w:rPr>
              <w:t>Outils confirmés dans le projet</w:t>
            </w:r>
          </w:p>
        </w:tc>
        <w:tc>
          <w:tcPr>
            <w:tcW w:type="dxa" w:w="3560"/>
            <w:tcMar>
              <w:top w:w="80" w:type="dxa"/>
              <w:start w:w="120" w:type="dxa"/>
              <w:bottom w:w="80" w:type="dxa"/>
              <w:end w:w="120" w:type="dxa"/>
            </w:tcMar>
            <w:shd w:fill="F4F6F9"/>
          </w:tcPr>
          <w:p>
            <w:r>
              <w:rPr>
                <w:rFonts w:ascii="Calibri" w:hAnsi="Calibri"/>
                <w:b/>
                <w:color w:val="202124"/>
                <w:sz w:val="18"/>
              </w:rPr>
              <w:t>Usage</w:t>
            </w:r>
          </w:p>
        </w:tc>
      </w:tr>
      <w:tr>
        <w:tc>
          <w:tcPr>
            <w:tcW w:type="dxa" w:w="1800"/>
          </w:tcPr>
          <w:p>
            <w:r>
              <w:rPr>
                <w:rFonts w:ascii="Calibri" w:hAnsi="Calibri"/>
                <w:color w:val="202124"/>
                <w:sz w:val="18"/>
              </w:rPr>
              <w:t>Développement frontend</w:t>
            </w:r>
          </w:p>
        </w:tc>
        <w:tc>
          <w:tcPr>
            <w:tcW w:type="dxa" w:w="4000"/>
          </w:tcPr>
          <w:p>
            <w:r>
              <w:rPr>
                <w:rFonts w:ascii="Calibri" w:hAnsi="Calibri"/>
                <w:color w:val="202124"/>
                <w:sz w:val="18"/>
              </w:rPr>
              <w:t>React, TypeScript, Vite, Tailwind CSS, Vitest.</w:t>
            </w:r>
          </w:p>
        </w:tc>
        <w:tc>
          <w:tcPr>
            <w:tcW w:type="dxa" w:w="3560"/>
          </w:tcPr>
          <w:p>
            <w:r>
              <w:rPr>
                <w:rFonts w:ascii="Calibri" w:hAnsi="Calibri"/>
                <w:color w:val="202124"/>
                <w:sz w:val="18"/>
              </w:rPr>
              <w:t>SPA, composants, routage, tests unitaires.</w:t>
            </w:r>
          </w:p>
        </w:tc>
      </w:tr>
      <w:tr>
        <w:tc>
          <w:tcPr>
            <w:tcW w:type="dxa" w:w="1800"/>
          </w:tcPr>
          <w:p>
            <w:r>
              <w:rPr>
                <w:rFonts w:ascii="Calibri" w:hAnsi="Calibri"/>
                <w:color w:val="202124"/>
                <w:sz w:val="18"/>
              </w:rPr>
              <w:t>Développement backend</w:t>
            </w:r>
          </w:p>
        </w:tc>
        <w:tc>
          <w:tcPr>
            <w:tcW w:type="dxa" w:w="4000"/>
          </w:tcPr>
          <w:p>
            <w:r>
              <w:rPr>
                <w:rFonts w:ascii="Calibri" w:hAnsi="Calibri"/>
                <w:color w:val="202124"/>
                <w:sz w:val="18"/>
              </w:rPr>
              <w:t>Java 17, Spring Boot, Maven, Spring Data JPA.</w:t>
            </w:r>
          </w:p>
        </w:tc>
        <w:tc>
          <w:tcPr>
            <w:tcW w:type="dxa" w:w="3560"/>
          </w:tcPr>
          <w:p>
            <w:r>
              <w:rPr>
                <w:rFonts w:ascii="Calibri" w:hAnsi="Calibri"/>
                <w:color w:val="202124"/>
                <w:sz w:val="18"/>
              </w:rPr>
              <w:t>API REST, règles métier, persistance et tests.</w:t>
            </w:r>
          </w:p>
        </w:tc>
      </w:tr>
      <w:tr>
        <w:tc>
          <w:tcPr>
            <w:tcW w:type="dxa" w:w="1800"/>
          </w:tcPr>
          <w:p>
            <w:r>
              <w:rPr>
                <w:rFonts w:ascii="Calibri" w:hAnsi="Calibri"/>
                <w:color w:val="202124"/>
                <w:sz w:val="18"/>
              </w:rPr>
              <w:t>Données</w:t>
            </w:r>
          </w:p>
        </w:tc>
        <w:tc>
          <w:tcPr>
            <w:tcW w:type="dxa" w:w="4000"/>
          </w:tcPr>
          <w:p>
            <w:r>
              <w:rPr>
                <w:rFonts w:ascii="Calibri" w:hAnsi="Calibri"/>
                <w:color w:val="202124"/>
                <w:sz w:val="18"/>
              </w:rPr>
              <w:t>PostgreSQL, Hibernate/JPA.</w:t>
            </w:r>
          </w:p>
        </w:tc>
        <w:tc>
          <w:tcPr>
            <w:tcW w:type="dxa" w:w="3560"/>
          </w:tcPr>
          <w:p>
            <w:r>
              <w:rPr>
                <w:rFonts w:ascii="Calibri" w:hAnsi="Calibri"/>
                <w:color w:val="202124"/>
                <w:sz w:val="18"/>
              </w:rPr>
              <w:t>Persistance relationnelle et mapping des entités.</w:t>
            </w:r>
          </w:p>
        </w:tc>
      </w:tr>
      <w:tr>
        <w:tc>
          <w:tcPr>
            <w:tcW w:type="dxa" w:w="1800"/>
          </w:tcPr>
          <w:p>
            <w:r>
              <w:rPr>
                <w:rFonts w:ascii="Calibri" w:hAnsi="Calibri"/>
                <w:color w:val="202124"/>
                <w:sz w:val="18"/>
              </w:rPr>
              <w:t>Qualité</w:t>
            </w:r>
          </w:p>
        </w:tc>
        <w:tc>
          <w:tcPr>
            <w:tcW w:type="dxa" w:w="4000"/>
          </w:tcPr>
          <w:p>
            <w:r>
              <w:rPr>
                <w:rFonts w:ascii="Calibri" w:hAnsi="Calibri"/>
                <w:color w:val="202124"/>
                <w:sz w:val="18"/>
              </w:rPr>
              <w:t>JUnit/Spring tests, Vitest, JaCoCo, SonarQube.</w:t>
            </w:r>
          </w:p>
        </w:tc>
        <w:tc>
          <w:tcPr>
            <w:tcW w:type="dxa" w:w="3560"/>
          </w:tcPr>
          <w:p>
            <w:r>
              <w:rPr>
                <w:rFonts w:ascii="Calibri" w:hAnsi="Calibri"/>
                <w:color w:val="202124"/>
                <w:sz w:val="18"/>
              </w:rPr>
              <w:t>Tests, couverture et analyse statique.</w:t>
            </w:r>
          </w:p>
        </w:tc>
      </w:tr>
      <w:tr>
        <w:tc>
          <w:tcPr>
            <w:tcW w:type="dxa" w:w="1800"/>
          </w:tcPr>
          <w:p>
            <w:r>
              <w:rPr>
                <w:rFonts w:ascii="Calibri" w:hAnsi="Calibri"/>
                <w:color w:val="202124"/>
                <w:sz w:val="18"/>
              </w:rPr>
              <w:t>DevOps</w:t>
            </w:r>
          </w:p>
        </w:tc>
        <w:tc>
          <w:tcPr>
            <w:tcW w:type="dxa" w:w="4000"/>
          </w:tcPr>
          <w:p>
            <w:r>
              <w:rPr>
                <w:rFonts w:ascii="Calibri" w:hAnsi="Calibri"/>
                <w:color w:val="202124"/>
                <w:sz w:val="18"/>
              </w:rPr>
              <w:t>GitHub, Docker, Docker Compose, Jenkins, Docker Hub, Azure CLI.</w:t>
            </w:r>
          </w:p>
        </w:tc>
        <w:tc>
          <w:tcPr>
            <w:tcW w:type="dxa" w:w="3560"/>
          </w:tcPr>
          <w:p>
            <w:r>
              <w:rPr>
                <w:rFonts w:ascii="Calibri" w:hAnsi="Calibri"/>
                <w:color w:val="202124"/>
                <w:sz w:val="18"/>
              </w:rPr>
              <w:t>Intégration, conteneurs, registry et déploiement.</w:t>
            </w:r>
          </w:p>
        </w:tc>
      </w:tr>
      <w:tr>
        <w:tc>
          <w:tcPr>
            <w:tcW w:type="dxa" w:w="1800"/>
          </w:tcPr>
          <w:p>
            <w:r>
              <w:rPr>
                <w:rFonts w:ascii="Calibri" w:hAnsi="Calibri"/>
                <w:color w:val="202124"/>
                <w:sz w:val="18"/>
              </w:rPr>
              <w:t>Services externes</w:t>
            </w:r>
          </w:p>
        </w:tc>
        <w:tc>
          <w:tcPr>
            <w:tcW w:type="dxa" w:w="4000"/>
          </w:tcPr>
          <w:p>
            <w:r>
              <w:rPr>
                <w:rFonts w:ascii="Calibri" w:hAnsi="Calibri"/>
                <w:color w:val="202124"/>
                <w:sz w:val="18"/>
              </w:rPr>
              <w:t>Stripe, SMTP, Gemini.</w:t>
            </w:r>
          </w:p>
        </w:tc>
        <w:tc>
          <w:tcPr>
            <w:tcW w:type="dxa" w:w="3560"/>
          </w:tcPr>
          <w:p>
            <w:r>
              <w:rPr>
                <w:rFonts w:ascii="Calibri" w:hAnsi="Calibri"/>
                <w:color w:val="202124"/>
                <w:sz w:val="18"/>
              </w:rPr>
              <w:t>Paiement, messages et assistant IA analytique.</w:t>
            </w:r>
          </w:p>
        </w:tc>
      </w:tr>
    </w:tbl>
    <w:p>
      <w:pPr>
        <w:spacing w:after="60"/>
      </w:pPr>
    </w:p>
    <w:p>
      <w:pPr>
        <w:pStyle w:val="Heading2"/>
      </w:pPr>
      <w:r>
        <w:rPr>
          <w:rFonts w:ascii="Calibri" w:hAnsi="Calibri"/>
        </w:rPr>
        <w:t>3.2 Choix technologiques</w:t>
      </w:r>
    </w:p>
    <w:p>
      <w:pPr>
        <w:pStyle w:val="Heading3"/>
      </w:pPr>
      <w:r>
        <w:rPr>
          <w:rFonts w:ascii="Calibri" w:hAnsi="Calibri"/>
        </w:rPr>
        <w:t>3.2.1 Frontend</w:t>
      </w:r>
    </w:p>
    <w:p>
      <w:r>
        <w:rPr>
          <w:rFonts w:ascii="Calibri" w:hAnsi="Calibri"/>
        </w:rPr>
        <w:t>React et TypeScript structurent l’interface en composants et sécurisent les contrats de données. Vite accélère la construction de la SPA. Le routage sépare les espaces SaaS, banque, concessionnaire et client, tandis que les services HTTP centralisent les appels à l’API.</w:t>
      </w:r>
    </w:p>
    <w:p>
      <w:pPr>
        <w:pStyle w:val="Heading3"/>
      </w:pPr>
      <w:r>
        <w:rPr>
          <w:rFonts w:ascii="Calibri" w:hAnsi="Calibri"/>
        </w:rPr>
        <w:t>3.2.2 Backend</w:t>
      </w:r>
    </w:p>
    <w:p>
      <w:r>
        <w:rPr>
          <w:rFonts w:ascii="Calibri" w:hAnsi="Calibri"/>
        </w:rPr>
        <w:t>Spring Boot avec Java 17 organise l’API REST en contrôleurs, services et repositories. Spring Data JPA simplifie la persistance PostgreSQL, la validation protège les entrées et Spring Security met en œuvre les règles d’accès. Les DTO évitent d’exposer directement les entités métier.</w:t>
      </w:r>
    </w:p>
    <w:p>
      <w:pPr>
        <w:pStyle w:val="Heading3"/>
      </w:pPr>
      <w:r>
        <w:rPr>
          <w:rFonts w:ascii="Calibri" w:hAnsi="Calibri"/>
        </w:rPr>
        <w:t>3.2.3 Sécurité et intégrations</w:t>
      </w:r>
    </w:p>
    <w:p>
      <w:r>
        <w:rPr>
          <w:rFonts w:ascii="Calibri" w:hAnsi="Calibri"/>
        </w:rPr>
        <w:t>La session applicative combine un jeton JWT d’accès et un mécanisme de refresh token. Stripe est encapsulé par le backend pour créer et confirmer les paiements ; SMTP diffuse les messages transactionnels. Gemini est appelé seulement par le serveur, après constitution d’un contexte et validation du SQL proposé.</w:t>
      </w:r>
    </w:p>
    <w:p>
      <w:pPr>
        <w:pStyle w:val="Heading3"/>
      </w:pPr>
      <w:r>
        <w:rPr>
          <w:rFonts w:ascii="Calibri" w:hAnsi="Calibri"/>
        </w:rPr>
        <w:t>3.2.4 Industrialisation</w:t>
      </w:r>
    </w:p>
    <w:p>
      <w:r>
        <w:rPr>
          <w:rFonts w:ascii="Calibri" w:hAnsi="Calibri"/>
        </w:rPr>
        <w:t>Les Dockerfiles construisent une image backend Spring Boot et une image frontend servie par Nginx. Jenkins orchestre la construction, les tests backend, les analyses SonarQube, le build/push Docker et les mises à jour Azure Container Apps.</w:t>
      </w:r>
    </w:p>
    <w:p>
      <w:pPr>
        <w:pStyle w:val="Heading2"/>
      </w:pPr>
      <w:r>
        <w:rPr>
          <w:rFonts w:ascii="Calibri" w:hAnsi="Calibri"/>
        </w:rPr>
        <w:t>3.3 Architecture physique</w:t>
      </w:r>
    </w:p>
    <w:p>
      <w:r>
        <w:rPr>
          <w:rFonts w:ascii="Calibri" w:hAnsi="Calibri"/>
        </w:rPr>
        <w:t>L’architecture physique suivante matérialise les composants exécutables et les services externes reliés à la plateforme.</w:t>
      </w:r>
    </w:p>
    <w:p>
      <w:pPr>
        <w:spacing w:before="120" w:after="60"/>
        <w:jc w:val="center"/>
      </w:pPr>
      <w:r>
        <w:drawing>
          <wp:inline xmlns:a="http://schemas.openxmlformats.org/drawingml/2006/main" xmlns:pic="http://schemas.openxmlformats.org/drawingml/2006/picture">
            <wp:extent cx="5715000" cy="3016250"/>
            <wp:docPr id="2" name="Picture 2" descr="Figure 3.1 — Architecture physique de la plateforme Matchia." title="Figure 3.1 — Architecture physique de la plateforme Matchia."/>
            <wp:cNvGraphicFramePr>
              <a:graphicFrameLocks noChangeAspect="1"/>
            </wp:cNvGraphicFramePr>
            <a:graphic>
              <a:graphicData uri="http://schemas.openxmlformats.org/drawingml/2006/picture">
                <pic:pic>
                  <pic:nvPicPr>
                    <pic:cNvPr id="0" name="architecture_physique.png"/>
                    <pic:cNvPicPr/>
                  </pic:nvPicPr>
                  <pic:blipFill>
                    <a:blip r:embed="rId12"/>
                    <a:stretch>
                      <a:fillRect/>
                    </a:stretch>
                  </pic:blipFill>
                  <pic:spPr>
                    <a:xfrm>
                      <a:off x="0" y="0"/>
                      <a:ext cx="5715000" cy="3016250"/>
                    </a:xfrm>
                    <a:prstGeom prst="rect"/>
                  </pic:spPr>
                </pic:pic>
              </a:graphicData>
            </a:graphic>
          </wp:inline>
        </w:drawing>
      </w:r>
    </w:p>
    <w:p>
      <w:pPr>
        <w:pStyle w:val="Caption"/>
        <w:jc w:val="center"/>
      </w:pPr>
      <w:r>
        <w:rPr>
          <w:rFonts w:ascii="Calibri" w:hAnsi="Calibri"/>
          <w:i/>
          <w:color w:val="5B6573"/>
          <w:sz w:val="18"/>
        </w:rPr>
        <w:t>Figure 3.1 — Architecture physique de la plateforme Matchia.</w:t>
      </w:r>
    </w:p>
    <w:p>
      <w:r>
        <w:rPr>
          <w:rFonts w:ascii="Calibri" w:hAnsi="Calibri"/>
        </w:rPr>
        <w:t>Le navigateur accède au frontend React. Celui-ci communique par API REST avec le backend Spring Boot, qui applique les règles de sécurité et de multi-tenance avant d’accéder à PostgreSQL. Stripe, SMTP et Gemini sont invoqués depuis le backend ; ils restent extérieurs au domaine de persistance de Matchia.</w:t>
      </w:r>
    </w:p>
    <w:p>
      <w:pPr>
        <w:pStyle w:val="Heading2"/>
      </w:pPr>
      <w:r>
        <w:rPr>
          <w:rFonts w:ascii="Calibri" w:hAnsi="Calibri"/>
        </w:rPr>
        <w:t>3.4 Architecture logique</w:t>
      </w:r>
    </w:p>
    <w:p>
      <w:r>
        <w:rPr>
          <w:rFonts w:ascii="Calibri" w:hAnsi="Calibri"/>
        </w:rPr>
        <w:t>La figure suivante illustre la séparation logique entre présentation, API, règles métier, persistance et stockage.</w:t>
      </w:r>
    </w:p>
    <w:p>
      <w:pPr>
        <w:spacing w:before="120" w:after="60"/>
        <w:jc w:val="center"/>
      </w:pPr>
      <w:r>
        <w:drawing>
          <wp:inline xmlns:a="http://schemas.openxmlformats.org/drawingml/2006/main" xmlns:pic="http://schemas.openxmlformats.org/drawingml/2006/picture">
            <wp:extent cx="5715000" cy="3016250"/>
            <wp:docPr id="3" name="Picture 3" descr="Figure 3.2 — Architecture logique en couches de Matchia." title="Figure 3.2 — Architecture logique en couches de Matchia."/>
            <wp:cNvGraphicFramePr>
              <a:graphicFrameLocks noChangeAspect="1"/>
            </wp:cNvGraphicFramePr>
            <a:graphic>
              <a:graphicData uri="http://schemas.openxmlformats.org/drawingml/2006/picture">
                <pic:pic>
                  <pic:nvPicPr>
                    <pic:cNvPr id="0" name="architecture_logique.png"/>
                    <pic:cNvPicPr/>
                  </pic:nvPicPr>
                  <pic:blipFill>
                    <a:blip r:embed="rId13"/>
                    <a:stretch>
                      <a:fillRect/>
                    </a:stretch>
                  </pic:blipFill>
                  <pic:spPr>
                    <a:xfrm>
                      <a:off x="0" y="0"/>
                      <a:ext cx="5715000" cy="3016250"/>
                    </a:xfrm>
                    <a:prstGeom prst="rect"/>
                  </pic:spPr>
                </pic:pic>
              </a:graphicData>
            </a:graphic>
          </wp:inline>
        </w:drawing>
      </w:r>
    </w:p>
    <w:p>
      <w:pPr>
        <w:pStyle w:val="Caption"/>
        <w:jc w:val="center"/>
      </w:pPr>
      <w:r>
        <w:rPr>
          <w:rFonts w:ascii="Calibri" w:hAnsi="Calibri"/>
          <w:i/>
          <w:color w:val="5B6573"/>
          <w:sz w:val="18"/>
        </w:rPr>
        <w:t>Figure 3.2 — Architecture logique en couches de Matchia.</w:t>
      </w:r>
    </w:p>
    <w:p>
      <w:r>
        <w:rPr>
          <w:rFonts w:ascii="Calibri" w:hAnsi="Calibri"/>
        </w:rPr>
        <w:t>La couche de présentation regroupe les pages React et les services HTTP. Les contrôleurs reçoivent les requêtes et délèguent les traitements aux services métier. Les repositories assurent l’accès aux entités persistées. Les préoccupations transverses — sécurité JWT, tenant, paiement, notification, audit, stockage et IA — sont intégrées aux services concernés sans rompre cette séparation.</w:t>
      </w:r>
    </w:p>
    <w:p>
      <w:pPr>
        <w:pStyle w:val="Heading2"/>
      </w:pPr>
      <w:r>
        <w:rPr>
          <w:rFonts w:ascii="Calibri" w:hAnsi="Calibri"/>
        </w:rPr>
        <w:t>3.5 Architecture multi-tenant</w:t>
      </w:r>
    </w:p>
    <w:p>
      <w:r>
        <w:rPr>
          <w:rFonts w:ascii="Calibri" w:hAnsi="Calibri"/>
        </w:rPr>
        <w:t>La banque est représentée comme le contexte d’isolation fonctionnelle et de personnalisation de la marketplace.</w:t>
      </w:r>
    </w:p>
    <w:p>
      <w:pPr>
        <w:spacing w:before="120" w:after="60"/>
        <w:jc w:val="center"/>
      </w:pPr>
      <w:r>
        <w:drawing>
          <wp:inline xmlns:a="http://schemas.openxmlformats.org/drawingml/2006/main" xmlns:pic="http://schemas.openxmlformats.org/drawingml/2006/picture">
            <wp:extent cx="5715000" cy="3016250"/>
            <wp:docPr id="4" name="Picture 4" descr="Figure 3.3 — Principe d’isolation logique multi-tenant par banque." title="Figure 3.3 — Principe d’isolation logique multi-tenant par banque."/>
            <wp:cNvGraphicFramePr>
              <a:graphicFrameLocks noChangeAspect="1"/>
            </wp:cNvGraphicFramePr>
            <a:graphic>
              <a:graphicData uri="http://schemas.openxmlformats.org/drawingml/2006/picture">
                <pic:pic>
                  <pic:nvPicPr>
                    <pic:cNvPr id="0" name="architecture_multitenant.png"/>
                    <pic:cNvPicPr/>
                  </pic:nvPicPr>
                  <pic:blipFill>
                    <a:blip r:embed="rId14"/>
                    <a:stretch>
                      <a:fillRect/>
                    </a:stretch>
                  </pic:blipFill>
                  <pic:spPr>
                    <a:xfrm>
                      <a:off x="0" y="0"/>
                      <a:ext cx="5715000" cy="3016250"/>
                    </a:xfrm>
                    <a:prstGeom prst="rect"/>
                  </pic:spPr>
                </pic:pic>
              </a:graphicData>
            </a:graphic>
          </wp:inline>
        </w:drawing>
      </w:r>
    </w:p>
    <w:p>
      <w:pPr>
        <w:pStyle w:val="Caption"/>
        <w:jc w:val="center"/>
      </w:pPr>
      <w:r>
        <w:rPr>
          <w:rFonts w:ascii="Calibri" w:hAnsi="Calibri"/>
          <w:i/>
          <w:color w:val="5B6573"/>
          <w:sz w:val="18"/>
        </w:rPr>
        <w:t>Figure 3.3 — Principe d’isolation logique multi-tenant par banque.</w:t>
      </w:r>
    </w:p>
    <w:p>
      <w:r>
        <w:rPr>
          <w:rFonts w:ascii="Calibri" w:hAnsi="Calibri"/>
        </w:rPr>
        <w:t>L’application et son pipeline restent mutualisés. La différenciation s’effectue à travers les relations de données et les contrôles d’accès : marketplace, utilisateurs, contenus, souscriptions et décisions métier sont bornés au tenant. Cette approche évite de maintenir une application distincte pour chaque banque tout en garantissant une gouvernance locale.</w:t>
      </w:r>
    </w:p>
    <w:p>
      <w:pPr>
        <w:pStyle w:val="Heading2"/>
      </w:pPr>
      <w:r>
        <w:rPr>
          <w:rFonts w:ascii="Calibri" w:hAnsi="Calibri"/>
        </w:rPr>
        <w:t>3.6 Diagrammes UML</w:t>
      </w:r>
    </w:p>
    <w:p>
      <w:pPr>
        <w:pStyle w:val="Heading3"/>
      </w:pPr>
      <w:r>
        <w:rPr>
          <w:rFonts w:ascii="Calibri" w:hAnsi="Calibri"/>
        </w:rPr>
        <w:t>3.6.1 Diagramme global de cas d’utilisation</w:t>
      </w:r>
    </w:p>
    <w:p>
      <w:r>
        <w:rPr>
          <w:rFonts w:ascii="Calibri" w:hAnsi="Calibri"/>
        </w:rPr>
        <w:t>Le diagramme global synthétise les acteurs humains et les services externes autour des grands domaines fonctionnels.</w:t>
      </w:r>
    </w:p>
    <w:p>
      <w:pPr>
        <w:spacing w:before="120" w:after="60"/>
        <w:jc w:val="center"/>
      </w:pPr>
      <w:r>
        <w:drawing>
          <wp:inline xmlns:a="http://schemas.openxmlformats.org/drawingml/2006/main" xmlns:pic="http://schemas.openxmlformats.org/drawingml/2006/picture">
            <wp:extent cx="5715000" cy="3048000"/>
            <wp:docPr id="5" name="Picture 5" descr="Figure 3.4 — Diagramme global de cas d’utilisation de Matchia." title="Figure 3.4 — Diagramme global de cas d’utilisation de Matchia."/>
            <wp:cNvGraphicFramePr>
              <a:graphicFrameLocks noChangeAspect="1"/>
            </wp:cNvGraphicFramePr>
            <a:graphic>
              <a:graphicData uri="http://schemas.openxmlformats.org/drawingml/2006/picture">
                <pic:pic>
                  <pic:nvPicPr>
                    <pic:cNvPr id="0" name="use_cases_global.png"/>
                    <pic:cNvPicPr/>
                  </pic:nvPicPr>
                  <pic:blipFill>
                    <a:blip r:embed="rId15"/>
                    <a:stretch>
                      <a:fillRect/>
                    </a:stretch>
                  </pic:blipFill>
                  <pic:spPr>
                    <a:xfrm>
                      <a:off x="0" y="0"/>
                      <a:ext cx="5715000" cy="3048000"/>
                    </a:xfrm>
                    <a:prstGeom prst="rect"/>
                  </pic:spPr>
                </pic:pic>
              </a:graphicData>
            </a:graphic>
          </wp:inline>
        </w:drawing>
      </w:r>
    </w:p>
    <w:p>
      <w:pPr>
        <w:pStyle w:val="Caption"/>
        <w:jc w:val="center"/>
      </w:pPr>
      <w:r>
        <w:rPr>
          <w:rFonts w:ascii="Calibri" w:hAnsi="Calibri"/>
          <w:i/>
          <w:color w:val="5B6573"/>
          <w:sz w:val="18"/>
        </w:rPr>
        <w:t>Figure 3.4 — Diagramme global de cas d’utilisation de Matchia.</w:t>
      </w:r>
    </w:p>
    <w:p>
      <w:r>
        <w:rPr>
          <w:rFonts w:ascii="Calibri" w:hAnsi="Calibri"/>
        </w:rPr>
        <w:t>L’administrateur SaaS gouverne la plateforme et les tenants. L’administrateur Banque configure et exploite son tenant. Le concessionnaire pilote son catalogue et ses partenariats. Le client consulte, simule et suit ses dossiers, tandis que l’internaute accède aux parcours publics. Stripe, SMTP et Gemini interviennent respectivement dans le paiement, la communication et l’analyse contrôlée.</w:t>
      </w:r>
    </w:p>
    <w:p>
      <w:pPr>
        <w:pStyle w:val="Heading3"/>
      </w:pPr>
      <w:r>
        <w:rPr>
          <w:rFonts w:ascii="Calibri" w:hAnsi="Calibri"/>
        </w:rPr>
        <w:t>3.6.2 Cas d’utilisation détaillés et scénarios</w:t>
      </w:r>
    </w:p>
    <w:p>
      <w:r>
        <w:rPr>
          <w:rFonts w:ascii="Calibri" w:hAnsi="Calibri"/>
        </w:rPr>
        <w:t>Le premier diagramme détaillé porte sur les fonctions de gouvernance.</w:t>
      </w:r>
    </w:p>
    <w:p>
      <w:pPr>
        <w:spacing w:before="120" w:after="60"/>
        <w:jc w:val="center"/>
      </w:pPr>
      <w:r>
        <w:drawing>
          <wp:inline xmlns:a="http://schemas.openxmlformats.org/drawingml/2006/main" xmlns:pic="http://schemas.openxmlformats.org/drawingml/2006/picture">
            <wp:extent cx="5577840" cy="2541016"/>
            <wp:docPr id="6" name="Picture 6" descr="Figure 3.5 — Cas d’utilisation détaillé de l’administrateur SaaS." title="Figure 3.5 — Cas d’utilisation détaillé de l’administrateur SaaS."/>
            <wp:cNvGraphicFramePr>
              <a:graphicFrameLocks noChangeAspect="1"/>
            </wp:cNvGraphicFramePr>
            <a:graphic>
              <a:graphicData uri="http://schemas.openxmlformats.org/drawingml/2006/picture">
                <pic:pic>
                  <pic:nvPicPr>
                    <pic:cNvPr id="0" name="uc_saas.png"/>
                    <pic:cNvPicPr/>
                  </pic:nvPicPr>
                  <pic:blipFill>
                    <a:blip r:embed="rId16"/>
                    <a:stretch>
                      <a:fillRect/>
                    </a:stretch>
                  </pic:blipFill>
                  <pic:spPr>
                    <a:xfrm>
                      <a:off x="0" y="0"/>
                      <a:ext cx="5577840" cy="2541016"/>
                    </a:xfrm>
                    <a:prstGeom prst="rect"/>
                  </pic:spPr>
                </pic:pic>
              </a:graphicData>
            </a:graphic>
          </wp:inline>
        </w:drawing>
      </w:r>
    </w:p>
    <w:p>
      <w:pPr>
        <w:pStyle w:val="Caption"/>
        <w:jc w:val="center"/>
      </w:pPr>
      <w:r>
        <w:rPr>
          <w:rFonts w:ascii="Calibri" w:hAnsi="Calibri"/>
          <w:i/>
          <w:color w:val="5B6573"/>
          <w:sz w:val="18"/>
        </w:rPr>
        <w:t>Figure 3.5 — Cas d’utilisation détaillé de l’administrateur SaaS.</w:t>
      </w:r>
    </w:p>
    <w:p>
      <w:r>
        <w:rPr>
          <w:rFonts w:ascii="Calibri" w:hAnsi="Calibri"/>
        </w:rPr>
        <w:t>Le deuxième diagramme concentre les responsabilités d’un tenant bancaire.</w:t>
      </w:r>
    </w:p>
    <w:p>
      <w:pPr>
        <w:spacing w:before="120" w:after="60"/>
        <w:jc w:val="center"/>
      </w:pPr>
      <w:r>
        <w:drawing>
          <wp:inline xmlns:a="http://schemas.openxmlformats.org/drawingml/2006/main" xmlns:pic="http://schemas.openxmlformats.org/drawingml/2006/picture">
            <wp:extent cx="5577840" cy="2541016"/>
            <wp:docPr id="7" name="Picture 7" descr="Figure 3.6 — Cas d’utilisation détaillé de l’administrateur Banque." title="Figure 3.6 — Cas d’utilisation détaillé de l’administrateur Banque."/>
            <wp:cNvGraphicFramePr>
              <a:graphicFrameLocks noChangeAspect="1"/>
            </wp:cNvGraphicFramePr>
            <a:graphic>
              <a:graphicData uri="http://schemas.openxmlformats.org/drawingml/2006/picture">
                <pic:pic>
                  <pic:nvPicPr>
                    <pic:cNvPr id="0" name="uc_banque.png"/>
                    <pic:cNvPicPr/>
                  </pic:nvPicPr>
                  <pic:blipFill>
                    <a:blip r:embed="rId17"/>
                    <a:stretch>
                      <a:fillRect/>
                    </a:stretch>
                  </pic:blipFill>
                  <pic:spPr>
                    <a:xfrm>
                      <a:off x="0" y="0"/>
                      <a:ext cx="5577840" cy="2541016"/>
                    </a:xfrm>
                    <a:prstGeom prst="rect"/>
                  </pic:spPr>
                </pic:pic>
              </a:graphicData>
            </a:graphic>
          </wp:inline>
        </w:drawing>
      </w:r>
    </w:p>
    <w:p>
      <w:pPr>
        <w:pStyle w:val="Caption"/>
        <w:jc w:val="center"/>
      </w:pPr>
      <w:r>
        <w:rPr>
          <w:rFonts w:ascii="Calibri" w:hAnsi="Calibri"/>
          <w:i/>
          <w:color w:val="5B6573"/>
          <w:sz w:val="18"/>
        </w:rPr>
        <w:t>Figure 3.6 — Cas d’utilisation détaillé de l’administrateur Banque.</w:t>
      </w:r>
    </w:p>
    <w:p>
      <w:r>
        <w:rPr>
          <w:rFonts w:ascii="Calibri" w:hAnsi="Calibri"/>
        </w:rPr>
        <w:t>Le dernier diagramme détaille les parcours opérationnels des acteurs métier.</w:t>
      </w:r>
    </w:p>
    <w:p>
      <w:pPr>
        <w:spacing w:before="120" w:after="60"/>
        <w:jc w:val="center"/>
      </w:pPr>
      <w:r>
        <w:drawing>
          <wp:inline xmlns:a="http://schemas.openxmlformats.org/drawingml/2006/main" xmlns:pic="http://schemas.openxmlformats.org/drawingml/2006/picture">
            <wp:extent cx="5577840" cy="2541016"/>
            <wp:docPr id="8" name="Picture 8" descr="Figure 3.7 — Cas d’utilisation détaillé du concessionnaire et du client." title="Figure 3.7 — Cas d’utilisation détaillé du concessionnaire et du client."/>
            <wp:cNvGraphicFramePr>
              <a:graphicFrameLocks noChangeAspect="1"/>
            </wp:cNvGraphicFramePr>
            <a:graphic>
              <a:graphicData uri="http://schemas.openxmlformats.org/drawingml/2006/picture">
                <pic:pic>
                  <pic:nvPicPr>
                    <pic:cNvPr id="0" name="uc_dealer_client.png"/>
                    <pic:cNvPicPr/>
                  </pic:nvPicPr>
                  <pic:blipFill>
                    <a:blip r:embed="rId18"/>
                    <a:stretch>
                      <a:fillRect/>
                    </a:stretch>
                  </pic:blipFill>
                  <pic:spPr>
                    <a:xfrm>
                      <a:off x="0" y="0"/>
                      <a:ext cx="5577840" cy="2541016"/>
                    </a:xfrm>
                    <a:prstGeom prst="rect"/>
                  </pic:spPr>
                </pic:pic>
              </a:graphicData>
            </a:graphic>
          </wp:inline>
        </w:drawing>
      </w:r>
    </w:p>
    <w:p>
      <w:pPr>
        <w:pStyle w:val="Caption"/>
        <w:jc w:val="center"/>
      </w:pPr>
      <w:r>
        <w:rPr>
          <w:rFonts w:ascii="Calibri" w:hAnsi="Calibri"/>
          <w:i/>
          <w:color w:val="5B6573"/>
          <w:sz w:val="18"/>
        </w:rPr>
        <w:t>Figure 3.7 — Cas d’utilisation détaillé du concessionnaire et du client.</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r>
              <w:rPr>
                <w:rFonts w:ascii="Calibri" w:hAnsi="Calibri"/>
                <w:b/>
                <w:color w:val="202124"/>
                <w:sz w:val="18"/>
              </w:rPr>
              <w:t>Élément</w:t>
            </w:r>
          </w:p>
        </w:tc>
        <w:tc>
          <w:tcPr>
            <w:tcW w:type="dxa" w:w="6760"/>
            <w:tcMar>
              <w:top w:w="80" w:type="dxa"/>
              <w:start w:w="120" w:type="dxa"/>
              <w:bottom w:w="80" w:type="dxa"/>
              <w:end w:w="120" w:type="dxa"/>
            </w:tcMar>
            <w:shd w:fill="F4F6F9"/>
          </w:tcPr>
          <w:p>
            <w:r>
              <w:rPr>
                <w:rFonts w:ascii="Calibri" w:hAnsi="Calibri"/>
                <w:b/>
                <w:color w:val="202124"/>
                <w:sz w:val="18"/>
              </w:rPr>
              <w:t>Description</w:t>
            </w:r>
          </w:p>
        </w:tc>
      </w:tr>
      <w:tr>
        <w:tc>
          <w:tcPr>
            <w:tcW w:type="dxa" w:w="2600"/>
          </w:tcPr>
          <w:p>
            <w:r>
              <w:rPr>
                <w:rFonts w:ascii="Calibri" w:hAnsi="Calibri"/>
                <w:color w:val="202124"/>
                <w:sz w:val="18"/>
              </w:rPr>
              <w:t>Cas d’utilisation</w:t>
            </w:r>
          </w:p>
        </w:tc>
        <w:tc>
          <w:tcPr>
            <w:tcW w:type="dxa" w:w="6760"/>
          </w:tcPr>
          <w:p>
            <w:r>
              <w:rPr>
                <w:rFonts w:ascii="Calibri" w:hAnsi="Calibri"/>
                <w:color w:val="202124"/>
                <w:sz w:val="18"/>
              </w:rPr>
              <w:t>UC1 — Onboarding, paiement et activation d’une banque</w:t>
            </w:r>
          </w:p>
        </w:tc>
      </w:tr>
      <w:tr>
        <w:tc>
          <w:tcPr>
            <w:tcW w:type="dxa" w:w="2600"/>
          </w:tcPr>
          <w:p>
            <w:r>
              <w:rPr>
                <w:rFonts w:ascii="Calibri" w:hAnsi="Calibri"/>
                <w:color w:val="202124"/>
                <w:sz w:val="18"/>
              </w:rPr>
              <w:t>Acteur principal</w:t>
            </w:r>
          </w:p>
        </w:tc>
        <w:tc>
          <w:tcPr>
            <w:tcW w:type="dxa" w:w="6760"/>
          </w:tcPr>
          <w:p>
            <w:r>
              <w:rPr>
                <w:rFonts w:ascii="Calibri" w:hAnsi="Calibri"/>
                <w:color w:val="202124"/>
                <w:sz w:val="18"/>
              </w:rPr>
              <w:t>Administrateur SaaS / contact bancaire</w:t>
            </w:r>
          </w:p>
        </w:tc>
      </w:tr>
      <w:tr>
        <w:tc>
          <w:tcPr>
            <w:tcW w:type="dxa" w:w="2600"/>
          </w:tcPr>
          <w:p>
            <w:r>
              <w:rPr>
                <w:rFonts w:ascii="Calibri" w:hAnsi="Calibri"/>
                <w:color w:val="202124"/>
                <w:sz w:val="18"/>
              </w:rPr>
              <w:t>Objectif</w:t>
            </w:r>
          </w:p>
        </w:tc>
        <w:tc>
          <w:tcPr>
            <w:tcW w:type="dxa" w:w="6760"/>
          </w:tcPr>
          <w:p>
            <w:r>
              <w:rPr>
                <w:rFonts w:ascii="Calibri" w:hAnsi="Calibri"/>
                <w:color w:val="202124"/>
                <w:sz w:val="18"/>
              </w:rPr>
              <w:t>Créer une marketplace active après validation et paiement.</w:t>
            </w:r>
          </w:p>
        </w:tc>
      </w:tr>
      <w:tr>
        <w:tc>
          <w:tcPr>
            <w:tcW w:type="dxa" w:w="2600"/>
          </w:tcPr>
          <w:p>
            <w:r>
              <w:rPr>
                <w:rFonts w:ascii="Calibri" w:hAnsi="Calibri"/>
                <w:color w:val="202124"/>
                <w:sz w:val="18"/>
              </w:rPr>
              <w:t>Préconditions</w:t>
            </w:r>
          </w:p>
        </w:tc>
        <w:tc>
          <w:tcPr>
            <w:tcW w:type="dxa" w:w="6760"/>
          </w:tcPr>
          <w:p>
            <w:r>
              <w:rPr>
                <w:rFonts w:ascii="Calibri" w:hAnsi="Calibri"/>
                <w:color w:val="202124"/>
                <w:sz w:val="18"/>
              </w:rPr>
              <w:t>Demande complète en attente.</w:t>
            </w:r>
          </w:p>
        </w:tc>
      </w:tr>
      <w:tr>
        <w:tc>
          <w:tcPr>
            <w:tcW w:type="dxa" w:w="2600"/>
          </w:tcPr>
          <w:p>
            <w:r>
              <w:rPr>
                <w:rFonts w:ascii="Calibri" w:hAnsi="Calibri"/>
                <w:color w:val="202124"/>
                <w:sz w:val="18"/>
              </w:rPr>
              <w:t>Scénario nominal</w:t>
            </w:r>
          </w:p>
        </w:tc>
        <w:tc>
          <w:tcPr>
            <w:tcW w:type="dxa" w:w="6760"/>
          </w:tcPr>
          <w:p>
            <w:r>
              <w:rPr>
                <w:rFonts w:ascii="Calibri" w:hAnsi="Calibri"/>
                <w:color w:val="202124"/>
                <w:sz w:val="18"/>
              </w:rPr>
              <w:t>Le SaaS instruit, approuve, le contact paie via Stripe, le backend confirme et active les services.</w:t>
            </w:r>
          </w:p>
        </w:tc>
      </w:tr>
      <w:tr>
        <w:tc>
          <w:tcPr>
            <w:tcW w:type="dxa" w:w="2600"/>
          </w:tcPr>
          <w:p>
            <w:r>
              <w:rPr>
                <w:rFonts w:ascii="Calibri" w:hAnsi="Calibri"/>
                <w:color w:val="202124"/>
                <w:sz w:val="18"/>
              </w:rPr>
              <w:t>Scénarios alternatifs / exceptions</w:t>
            </w:r>
          </w:p>
        </w:tc>
        <w:tc>
          <w:tcPr>
            <w:tcW w:type="dxa" w:w="6760"/>
          </w:tcPr>
          <w:p>
            <w:r>
              <w:rPr>
                <w:rFonts w:ascii="Calibri" w:hAnsi="Calibri"/>
                <w:color w:val="202124"/>
                <w:sz w:val="18"/>
              </w:rPr>
              <w:t>Rejet motivé ou paiement non confirmé : aucun tenant actif.</w:t>
            </w:r>
          </w:p>
        </w:tc>
      </w:tr>
      <w:tr>
        <w:tc>
          <w:tcPr>
            <w:tcW w:type="dxa" w:w="2600"/>
          </w:tcPr>
          <w:p>
            <w:r>
              <w:rPr>
                <w:rFonts w:ascii="Calibri" w:hAnsi="Calibri"/>
                <w:color w:val="202124"/>
                <w:sz w:val="18"/>
              </w:rPr>
              <w:t>Postconditions</w:t>
            </w:r>
          </w:p>
        </w:tc>
        <w:tc>
          <w:tcPr>
            <w:tcW w:type="dxa" w:w="6760"/>
          </w:tcPr>
          <w:p>
            <w:r>
              <w:rPr>
                <w:rFonts w:ascii="Calibri" w:hAnsi="Calibri"/>
                <w:color w:val="202124"/>
                <w:sz w:val="18"/>
              </w:rPr>
              <w:t>Banque, marketplace, abonnement et compte administrateur sont actifs selon le workflow.</w:t>
            </w:r>
          </w:p>
        </w:tc>
      </w:tr>
    </w:tbl>
    <w:p>
      <w:pPr>
        <w:spacing w:after="60"/>
      </w:pP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r>
              <w:rPr>
                <w:rFonts w:ascii="Calibri" w:hAnsi="Calibri"/>
                <w:b/>
                <w:color w:val="202124"/>
                <w:sz w:val="18"/>
              </w:rPr>
              <w:t>Élément</w:t>
            </w:r>
          </w:p>
        </w:tc>
        <w:tc>
          <w:tcPr>
            <w:tcW w:type="dxa" w:w="6760"/>
            <w:tcMar>
              <w:top w:w="80" w:type="dxa"/>
              <w:start w:w="120" w:type="dxa"/>
              <w:bottom w:w="80" w:type="dxa"/>
              <w:end w:w="120" w:type="dxa"/>
            </w:tcMar>
            <w:shd w:fill="F4F6F9"/>
          </w:tcPr>
          <w:p>
            <w:r>
              <w:rPr>
                <w:rFonts w:ascii="Calibri" w:hAnsi="Calibri"/>
                <w:b/>
                <w:color w:val="202124"/>
                <w:sz w:val="18"/>
              </w:rPr>
              <w:t>Description</w:t>
            </w:r>
          </w:p>
        </w:tc>
      </w:tr>
      <w:tr>
        <w:tc>
          <w:tcPr>
            <w:tcW w:type="dxa" w:w="2600"/>
          </w:tcPr>
          <w:p>
            <w:r>
              <w:rPr>
                <w:rFonts w:ascii="Calibri" w:hAnsi="Calibri"/>
                <w:color w:val="202124"/>
                <w:sz w:val="18"/>
              </w:rPr>
              <w:t>Cas d’utilisation</w:t>
            </w:r>
          </w:p>
        </w:tc>
        <w:tc>
          <w:tcPr>
            <w:tcW w:type="dxa" w:w="6760"/>
          </w:tcPr>
          <w:p>
            <w:r>
              <w:rPr>
                <w:rFonts w:ascii="Calibri" w:hAnsi="Calibri"/>
                <w:color w:val="202124"/>
                <w:sz w:val="18"/>
              </w:rPr>
              <w:t>UC2 — Partenariat et publication d’un produit</w:t>
            </w:r>
          </w:p>
        </w:tc>
      </w:tr>
      <w:tr>
        <w:tc>
          <w:tcPr>
            <w:tcW w:type="dxa" w:w="2600"/>
          </w:tcPr>
          <w:p>
            <w:r>
              <w:rPr>
                <w:rFonts w:ascii="Calibri" w:hAnsi="Calibri"/>
                <w:color w:val="202124"/>
                <w:sz w:val="18"/>
              </w:rPr>
              <w:t>Acteur principal</w:t>
            </w:r>
          </w:p>
        </w:tc>
        <w:tc>
          <w:tcPr>
            <w:tcW w:type="dxa" w:w="6760"/>
          </w:tcPr>
          <w:p>
            <w:r>
              <w:rPr>
                <w:rFonts w:ascii="Calibri" w:hAnsi="Calibri"/>
                <w:color w:val="202124"/>
                <w:sz w:val="18"/>
              </w:rPr>
              <w:t>Concessionnaire / administrateur Banque</w:t>
            </w:r>
          </w:p>
        </w:tc>
      </w:tr>
      <w:tr>
        <w:tc>
          <w:tcPr>
            <w:tcW w:type="dxa" w:w="2600"/>
          </w:tcPr>
          <w:p>
            <w:r>
              <w:rPr>
                <w:rFonts w:ascii="Calibri" w:hAnsi="Calibri"/>
                <w:color w:val="202124"/>
                <w:sz w:val="18"/>
              </w:rPr>
              <w:t>Objectif</w:t>
            </w:r>
          </w:p>
        </w:tc>
        <w:tc>
          <w:tcPr>
            <w:tcW w:type="dxa" w:w="6760"/>
          </w:tcPr>
          <w:p>
            <w:r>
              <w:rPr>
                <w:rFonts w:ascii="Calibri" w:hAnsi="Calibri"/>
                <w:color w:val="202124"/>
                <w:sz w:val="18"/>
              </w:rPr>
              <w:t>Rendre un produit dealer visible dans une marketplace.</w:t>
            </w:r>
          </w:p>
        </w:tc>
      </w:tr>
      <w:tr>
        <w:tc>
          <w:tcPr>
            <w:tcW w:type="dxa" w:w="2600"/>
          </w:tcPr>
          <w:p>
            <w:r>
              <w:rPr>
                <w:rFonts w:ascii="Calibri" w:hAnsi="Calibri"/>
                <w:color w:val="202124"/>
                <w:sz w:val="18"/>
              </w:rPr>
              <w:t>Préconditions</w:t>
            </w:r>
          </w:p>
        </w:tc>
        <w:tc>
          <w:tcPr>
            <w:tcW w:type="dxa" w:w="6760"/>
          </w:tcPr>
          <w:p>
            <w:r>
              <w:rPr>
                <w:rFonts w:ascii="Calibri" w:hAnsi="Calibri"/>
                <w:color w:val="202124"/>
                <w:sz w:val="18"/>
              </w:rPr>
              <w:t>Dealer actif, store compatible et partenariat autorisé.</w:t>
            </w:r>
          </w:p>
        </w:tc>
      </w:tr>
      <w:tr>
        <w:tc>
          <w:tcPr>
            <w:tcW w:type="dxa" w:w="2600"/>
          </w:tcPr>
          <w:p>
            <w:r>
              <w:rPr>
                <w:rFonts w:ascii="Calibri" w:hAnsi="Calibri"/>
                <w:color w:val="202124"/>
                <w:sz w:val="18"/>
              </w:rPr>
              <w:t>Scénario nominal</w:t>
            </w:r>
          </w:p>
        </w:tc>
        <w:tc>
          <w:tcPr>
            <w:tcW w:type="dxa" w:w="6760"/>
          </w:tcPr>
          <w:p>
            <w:r>
              <w:rPr>
                <w:rFonts w:ascii="Calibri" w:hAnsi="Calibri"/>
                <w:color w:val="202124"/>
                <w:sz w:val="18"/>
              </w:rPr>
              <w:t>Partenariat, contrat, création produit, demande de publication et décision banque.</w:t>
            </w:r>
          </w:p>
        </w:tc>
      </w:tr>
      <w:tr>
        <w:tc>
          <w:tcPr>
            <w:tcW w:type="dxa" w:w="2600"/>
          </w:tcPr>
          <w:p>
            <w:r>
              <w:rPr>
                <w:rFonts w:ascii="Calibri" w:hAnsi="Calibri"/>
                <w:color w:val="202124"/>
                <w:sz w:val="18"/>
              </w:rPr>
              <w:t>Scénarios alternatifs / exceptions</w:t>
            </w:r>
          </w:p>
        </w:tc>
        <w:tc>
          <w:tcPr>
            <w:tcW w:type="dxa" w:w="6760"/>
          </w:tcPr>
          <w:p>
            <w:r>
              <w:rPr>
                <w:rFonts w:ascii="Calibri" w:hAnsi="Calibri"/>
                <w:color w:val="202124"/>
                <w:sz w:val="18"/>
              </w:rPr>
              <w:t>Doublon, contrat expiré, suspension ou refus de publication.</w:t>
            </w:r>
          </w:p>
        </w:tc>
      </w:tr>
      <w:tr>
        <w:tc>
          <w:tcPr>
            <w:tcW w:type="dxa" w:w="2600"/>
          </w:tcPr>
          <w:p>
            <w:r>
              <w:rPr>
                <w:rFonts w:ascii="Calibri" w:hAnsi="Calibri"/>
                <w:color w:val="202124"/>
                <w:sz w:val="18"/>
              </w:rPr>
              <w:t>Postconditions</w:t>
            </w:r>
          </w:p>
        </w:tc>
        <w:tc>
          <w:tcPr>
            <w:tcW w:type="dxa" w:w="6760"/>
          </w:tcPr>
          <w:p>
            <w:r>
              <w:rPr>
                <w:rFonts w:ascii="Calibri" w:hAnsi="Calibri"/>
                <w:color w:val="202124"/>
                <w:sz w:val="18"/>
              </w:rPr>
              <w:t>Produit visible seulement avec toutes les préconditions actives.</w:t>
            </w:r>
          </w:p>
        </w:tc>
      </w:tr>
    </w:tbl>
    <w:p>
      <w:pPr>
        <w:spacing w:after="60"/>
      </w:pP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r>
              <w:rPr>
                <w:rFonts w:ascii="Calibri" w:hAnsi="Calibri"/>
                <w:b/>
                <w:color w:val="202124"/>
                <w:sz w:val="18"/>
              </w:rPr>
              <w:t>Élément</w:t>
            </w:r>
          </w:p>
        </w:tc>
        <w:tc>
          <w:tcPr>
            <w:tcW w:type="dxa" w:w="6760"/>
            <w:tcMar>
              <w:top w:w="80" w:type="dxa"/>
              <w:start w:w="120" w:type="dxa"/>
              <w:bottom w:w="80" w:type="dxa"/>
              <w:end w:w="120" w:type="dxa"/>
            </w:tcMar>
            <w:shd w:fill="F4F6F9"/>
          </w:tcPr>
          <w:p>
            <w:r>
              <w:rPr>
                <w:rFonts w:ascii="Calibri" w:hAnsi="Calibri"/>
                <w:b/>
                <w:color w:val="202124"/>
                <w:sz w:val="18"/>
              </w:rPr>
              <w:t>Description</w:t>
            </w:r>
          </w:p>
        </w:tc>
      </w:tr>
      <w:tr>
        <w:tc>
          <w:tcPr>
            <w:tcW w:type="dxa" w:w="2600"/>
          </w:tcPr>
          <w:p>
            <w:r>
              <w:rPr>
                <w:rFonts w:ascii="Calibri" w:hAnsi="Calibri"/>
                <w:color w:val="202124"/>
                <w:sz w:val="18"/>
              </w:rPr>
              <w:t>Cas d’utilisation</w:t>
            </w:r>
          </w:p>
        </w:tc>
        <w:tc>
          <w:tcPr>
            <w:tcW w:type="dxa" w:w="6760"/>
          </w:tcPr>
          <w:p>
            <w:r>
              <w:rPr>
                <w:rFonts w:ascii="Calibri" w:hAnsi="Calibri"/>
                <w:color w:val="202124"/>
                <w:sz w:val="18"/>
              </w:rPr>
              <w:t>UC3 — Demande de financement</w:t>
            </w:r>
          </w:p>
        </w:tc>
      </w:tr>
      <w:tr>
        <w:tc>
          <w:tcPr>
            <w:tcW w:type="dxa" w:w="2600"/>
          </w:tcPr>
          <w:p>
            <w:r>
              <w:rPr>
                <w:rFonts w:ascii="Calibri" w:hAnsi="Calibri"/>
                <w:color w:val="202124"/>
                <w:sz w:val="18"/>
              </w:rPr>
              <w:t>Acteur principal</w:t>
            </w:r>
          </w:p>
        </w:tc>
        <w:tc>
          <w:tcPr>
            <w:tcW w:type="dxa" w:w="6760"/>
          </w:tcPr>
          <w:p>
            <w:r>
              <w:rPr>
                <w:rFonts w:ascii="Calibri" w:hAnsi="Calibri"/>
                <w:color w:val="202124"/>
                <w:sz w:val="18"/>
              </w:rPr>
              <w:t>Client / administrateur Banque</w:t>
            </w:r>
          </w:p>
        </w:tc>
      </w:tr>
      <w:tr>
        <w:tc>
          <w:tcPr>
            <w:tcW w:type="dxa" w:w="2600"/>
          </w:tcPr>
          <w:p>
            <w:r>
              <w:rPr>
                <w:rFonts w:ascii="Calibri" w:hAnsi="Calibri"/>
                <w:color w:val="202124"/>
                <w:sz w:val="18"/>
              </w:rPr>
              <w:t>Objectif</w:t>
            </w:r>
          </w:p>
        </w:tc>
        <w:tc>
          <w:tcPr>
            <w:tcW w:type="dxa" w:w="6760"/>
          </w:tcPr>
          <w:p>
            <w:r>
              <w:rPr>
                <w:rFonts w:ascii="Calibri" w:hAnsi="Calibri"/>
                <w:color w:val="202124"/>
                <w:sz w:val="18"/>
              </w:rPr>
              <w:t>Soumettre puis traiter un dossier de financement.</w:t>
            </w:r>
          </w:p>
        </w:tc>
      </w:tr>
      <w:tr>
        <w:tc>
          <w:tcPr>
            <w:tcW w:type="dxa" w:w="2600"/>
          </w:tcPr>
          <w:p>
            <w:r>
              <w:rPr>
                <w:rFonts w:ascii="Calibri" w:hAnsi="Calibri"/>
                <w:color w:val="202124"/>
                <w:sz w:val="18"/>
              </w:rPr>
              <w:t>Préconditions</w:t>
            </w:r>
          </w:p>
        </w:tc>
        <w:tc>
          <w:tcPr>
            <w:tcW w:type="dxa" w:w="6760"/>
          </w:tcPr>
          <w:p>
            <w:r>
              <w:rPr>
                <w:rFonts w:ascii="Calibri" w:hAnsi="Calibri"/>
                <w:color w:val="202124"/>
                <w:sz w:val="18"/>
              </w:rPr>
              <w:t>Client connecté dans le tenant ; produit et store accessibles.</w:t>
            </w:r>
          </w:p>
        </w:tc>
      </w:tr>
      <w:tr>
        <w:tc>
          <w:tcPr>
            <w:tcW w:type="dxa" w:w="2600"/>
          </w:tcPr>
          <w:p>
            <w:r>
              <w:rPr>
                <w:rFonts w:ascii="Calibri" w:hAnsi="Calibri"/>
                <w:color w:val="202124"/>
                <w:sz w:val="18"/>
              </w:rPr>
              <w:t>Scénario nominal</w:t>
            </w:r>
          </w:p>
        </w:tc>
        <w:tc>
          <w:tcPr>
            <w:tcW w:type="dxa" w:w="6760"/>
          </w:tcPr>
          <w:p>
            <w:r>
              <w:rPr>
                <w:rFonts w:ascii="Calibri" w:hAnsi="Calibri"/>
                <w:color w:val="202124"/>
                <w:sz w:val="18"/>
              </w:rPr>
              <w:t>Brouillon, pièces, soumission PENDING, instruction et décision.</w:t>
            </w:r>
          </w:p>
        </w:tc>
      </w:tr>
      <w:tr>
        <w:tc>
          <w:tcPr>
            <w:tcW w:type="dxa" w:w="2600"/>
          </w:tcPr>
          <w:p>
            <w:r>
              <w:rPr>
                <w:rFonts w:ascii="Calibri" w:hAnsi="Calibri"/>
                <w:color w:val="202124"/>
                <w:sz w:val="18"/>
              </w:rPr>
              <w:t>Scénarios alternatifs / exceptions</w:t>
            </w:r>
          </w:p>
        </w:tc>
        <w:tc>
          <w:tcPr>
            <w:tcW w:type="dxa" w:w="6760"/>
          </w:tcPr>
          <w:p>
            <w:r>
              <w:rPr>
                <w:rFonts w:ascii="Calibri" w:hAnsi="Calibri"/>
                <w:color w:val="202124"/>
                <w:sz w:val="18"/>
              </w:rPr>
              <w:t>Pièce manquante, tentative d’accès hors tenant ou rejet sans motif.</w:t>
            </w:r>
          </w:p>
        </w:tc>
      </w:tr>
      <w:tr>
        <w:tc>
          <w:tcPr>
            <w:tcW w:type="dxa" w:w="2600"/>
          </w:tcPr>
          <w:p>
            <w:r>
              <w:rPr>
                <w:rFonts w:ascii="Calibri" w:hAnsi="Calibri"/>
                <w:color w:val="202124"/>
                <w:sz w:val="18"/>
              </w:rPr>
              <w:t>Postconditions</w:t>
            </w:r>
          </w:p>
        </w:tc>
        <w:tc>
          <w:tcPr>
            <w:tcW w:type="dxa" w:w="6760"/>
          </w:tcPr>
          <w:p>
            <w:r>
              <w:rPr>
                <w:rFonts w:ascii="Calibri" w:hAnsi="Calibri"/>
                <w:color w:val="202124"/>
                <w:sz w:val="18"/>
              </w:rPr>
              <w:t>Statut ACCEPTED ou REJECTED ; réservation pour un produit dealer accepté.</w:t>
            </w:r>
          </w:p>
        </w:tc>
      </w:tr>
    </w:tbl>
    <w:p>
      <w:pPr>
        <w:spacing w:after="60"/>
      </w:pPr>
    </w:p>
    <w:p>
      <w:pPr>
        <w:pStyle w:val="Heading3"/>
      </w:pPr>
      <w:r>
        <w:rPr>
          <w:rFonts w:ascii="Calibri" w:hAnsi="Calibri"/>
        </w:rPr>
        <w:t>3.6.3 Diagramme de classes</w:t>
      </w:r>
    </w:p>
    <w:p>
      <w:r>
        <w:rPr>
          <w:rFonts w:ascii="Calibri" w:hAnsi="Calibri"/>
        </w:rPr>
        <w:t>Le diagramme sélectionne les agrégats métier essentiels sans reproduire les classes techniques de l’implémentation.</w:t>
      </w:r>
    </w:p>
    <w:p>
      <w:pPr>
        <w:spacing w:before="120" w:after="60"/>
        <w:jc w:val="center"/>
      </w:pPr>
      <w:r>
        <w:drawing>
          <wp:inline xmlns:a="http://schemas.openxmlformats.org/drawingml/2006/main" xmlns:pic="http://schemas.openxmlformats.org/drawingml/2006/picture">
            <wp:extent cx="5715000" cy="3048000"/>
            <wp:docPr id="9" name="Picture 9" descr="Figure 3.8 — Diagramme de classes métier global de Matchia." title="Figure 3.8 — Diagramme de classes métier global de Matchia."/>
            <wp:cNvGraphicFramePr>
              <a:graphicFrameLocks noChangeAspect="1"/>
            </wp:cNvGraphicFramePr>
            <a:graphic>
              <a:graphicData uri="http://schemas.openxmlformats.org/drawingml/2006/picture">
                <pic:pic>
                  <pic:nvPicPr>
                    <pic:cNvPr id="0" name="global_class.png"/>
                    <pic:cNvPicPr/>
                  </pic:nvPicPr>
                  <pic:blipFill>
                    <a:blip r:embed="rId19"/>
                    <a:stretch>
                      <a:fillRect/>
                    </a:stretch>
                  </pic:blipFill>
                  <pic:spPr>
                    <a:xfrm>
                      <a:off x="0" y="0"/>
                      <a:ext cx="5715000" cy="3048000"/>
                    </a:xfrm>
                    <a:prstGeom prst="rect"/>
                  </pic:spPr>
                </pic:pic>
              </a:graphicData>
            </a:graphic>
          </wp:inline>
        </w:drawing>
      </w:r>
    </w:p>
    <w:p>
      <w:pPr>
        <w:pStyle w:val="Caption"/>
        <w:jc w:val="center"/>
      </w:pPr>
      <w:r>
        <w:rPr>
          <w:rFonts w:ascii="Calibri" w:hAnsi="Calibri"/>
          <w:i/>
          <w:color w:val="5B6573"/>
          <w:sz w:val="18"/>
        </w:rPr>
        <w:t>Figure 3.8 — Diagramme de classes métier global de Matchia.</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tcMar>
              <w:top w:w="80" w:type="dxa"/>
              <w:start w:w="120" w:type="dxa"/>
              <w:bottom w:w="80" w:type="dxa"/>
              <w:end w:w="120" w:type="dxa"/>
            </w:tcMar>
            <w:shd w:fill="F4F6F9"/>
          </w:tcPr>
          <w:p>
            <w:r>
              <w:rPr>
                <w:rFonts w:ascii="Calibri" w:hAnsi="Calibri"/>
                <w:b/>
                <w:color w:val="202124"/>
                <w:sz w:val="18"/>
              </w:rPr>
              <w:t>Classe / entité</w:t>
            </w:r>
          </w:p>
        </w:tc>
        <w:tc>
          <w:tcPr>
            <w:tcW w:type="dxa" w:w="6260"/>
            <w:tcMar>
              <w:top w:w="80" w:type="dxa"/>
              <w:start w:w="120" w:type="dxa"/>
              <w:bottom w:w="80" w:type="dxa"/>
              <w:end w:w="120" w:type="dxa"/>
            </w:tcMar>
            <w:shd w:fill="F4F6F9"/>
          </w:tcPr>
          <w:p>
            <w:r>
              <w:rPr>
                <w:rFonts w:ascii="Calibri" w:hAnsi="Calibri"/>
                <w:b/>
                <w:color w:val="202124"/>
                <w:sz w:val="18"/>
              </w:rPr>
              <w:t>Rôle et relations structurantes</w:t>
            </w:r>
          </w:p>
        </w:tc>
      </w:tr>
      <w:tr>
        <w:tc>
          <w:tcPr>
            <w:tcW w:type="dxa" w:w="3100"/>
          </w:tcPr>
          <w:p>
            <w:r>
              <w:rPr>
                <w:rFonts w:ascii="Calibri" w:hAnsi="Calibri"/>
                <w:color w:val="202124"/>
                <w:sz w:val="18"/>
              </w:rPr>
              <w:t>Bank</w:t>
            </w:r>
          </w:p>
        </w:tc>
        <w:tc>
          <w:tcPr>
            <w:tcW w:type="dxa" w:w="6260"/>
          </w:tcPr>
          <w:p>
            <w:r>
              <w:rPr>
                <w:rFonts w:ascii="Calibri" w:hAnsi="Calibri"/>
                <w:color w:val="202124"/>
                <w:sz w:val="18"/>
              </w:rPr>
              <w:t>Représente le tenant ; elle est liée à la marketplace, aux utilisateurs, abonnements et décisions.</w:t>
            </w:r>
          </w:p>
        </w:tc>
      </w:tr>
      <w:tr>
        <w:tc>
          <w:tcPr>
            <w:tcW w:type="dxa" w:w="3100"/>
          </w:tcPr>
          <w:p>
            <w:r>
              <w:rPr>
                <w:rFonts w:ascii="Calibri" w:hAnsi="Calibri"/>
                <w:color w:val="202124"/>
                <w:sz w:val="18"/>
              </w:rPr>
              <w:t>Marketplace / MarketplaceStore / MarketplaceStoreModule</w:t>
            </w:r>
          </w:p>
        </w:tc>
        <w:tc>
          <w:tcPr>
            <w:tcW w:type="dxa" w:w="6260"/>
          </w:tcPr>
          <w:p>
            <w:r>
              <w:rPr>
                <w:rFonts w:ascii="Calibri" w:hAnsi="Calibri"/>
                <w:color w:val="202124"/>
                <w:sz w:val="18"/>
              </w:rPr>
              <w:t>Portent la personnalisation, la sélection des stores et modules ainsi que leur visibilité.</w:t>
            </w:r>
          </w:p>
        </w:tc>
      </w:tr>
      <w:tr>
        <w:tc>
          <w:tcPr>
            <w:tcW w:type="dxa" w:w="3100"/>
          </w:tcPr>
          <w:p>
            <w:r>
              <w:rPr>
                <w:rFonts w:ascii="Calibri" w:hAnsi="Calibri"/>
                <w:color w:val="202124"/>
                <w:sz w:val="18"/>
              </w:rPr>
              <w:t>User</w:t>
            </w:r>
          </w:p>
        </w:tc>
        <w:tc>
          <w:tcPr>
            <w:tcW w:type="dxa" w:w="6260"/>
          </w:tcPr>
          <w:p>
            <w:r>
              <w:rPr>
                <w:rFonts w:ascii="Calibri" w:hAnsi="Calibri"/>
                <w:color w:val="202124"/>
                <w:sz w:val="18"/>
              </w:rPr>
              <w:t>Porte le rôle applicatif et le rattachement bancaire lorsqu’il est tenantisé.</w:t>
            </w:r>
          </w:p>
        </w:tc>
      </w:tr>
      <w:tr>
        <w:tc>
          <w:tcPr>
            <w:tcW w:type="dxa" w:w="3100"/>
          </w:tcPr>
          <w:p>
            <w:r>
              <w:rPr>
                <w:rFonts w:ascii="Calibri" w:hAnsi="Calibri"/>
                <w:color w:val="202124"/>
                <w:sz w:val="18"/>
              </w:rPr>
              <w:t>Subscription / Payment</w:t>
            </w:r>
          </w:p>
        </w:tc>
        <w:tc>
          <w:tcPr>
            <w:tcW w:type="dxa" w:w="6260"/>
          </w:tcPr>
          <w:p>
            <w:r>
              <w:rPr>
                <w:rFonts w:ascii="Calibri" w:hAnsi="Calibri"/>
                <w:color w:val="202124"/>
                <w:sz w:val="18"/>
              </w:rPr>
              <w:t>Matérialisent l’offre souscrite, le paiement et les états d’activation.</w:t>
            </w:r>
          </w:p>
        </w:tc>
      </w:tr>
      <w:tr>
        <w:tc>
          <w:tcPr>
            <w:tcW w:type="dxa" w:w="3100"/>
          </w:tcPr>
          <w:p>
            <w:r>
              <w:rPr>
                <w:rFonts w:ascii="Calibri" w:hAnsi="Calibri"/>
                <w:color w:val="202124"/>
                <w:sz w:val="18"/>
              </w:rPr>
              <w:t>Dealer / DealerBankPartnership / PartnershipContract</w:t>
            </w:r>
          </w:p>
        </w:tc>
        <w:tc>
          <w:tcPr>
            <w:tcW w:type="dxa" w:w="6260"/>
          </w:tcPr>
          <w:p>
            <w:r>
              <w:rPr>
                <w:rFonts w:ascii="Calibri" w:hAnsi="Calibri"/>
                <w:color w:val="202124"/>
                <w:sz w:val="18"/>
              </w:rPr>
              <w:t>Décrivent le partenaire, sa relation avec une banque et son cadre contractuel.</w:t>
            </w:r>
          </w:p>
        </w:tc>
      </w:tr>
      <w:tr>
        <w:tc>
          <w:tcPr>
            <w:tcW w:type="dxa" w:w="3100"/>
          </w:tcPr>
          <w:p>
            <w:r>
              <w:rPr>
                <w:rFonts w:ascii="Calibri" w:hAnsi="Calibri"/>
                <w:color w:val="202124"/>
                <w:sz w:val="18"/>
              </w:rPr>
              <w:t>DealerProduct / ProductPublicationRequest</w:t>
            </w:r>
          </w:p>
        </w:tc>
        <w:tc>
          <w:tcPr>
            <w:tcW w:type="dxa" w:w="6260"/>
          </w:tcPr>
          <w:p>
            <w:r>
              <w:rPr>
                <w:rFonts w:ascii="Calibri" w:hAnsi="Calibri"/>
                <w:color w:val="202124"/>
                <w:sz w:val="18"/>
              </w:rPr>
              <w:t>Séparent le catalogue centralisé du concessionnaire de la décision de publication par banque.</w:t>
            </w:r>
          </w:p>
        </w:tc>
      </w:tr>
      <w:tr>
        <w:tc>
          <w:tcPr>
            <w:tcW w:type="dxa" w:w="3100"/>
          </w:tcPr>
          <w:p>
            <w:r>
              <w:rPr>
                <w:rFonts w:ascii="Calibri" w:hAnsi="Calibri"/>
                <w:color w:val="202124"/>
                <w:sz w:val="18"/>
              </w:rPr>
              <w:t>FinancingRequest / FinancingRequestDocument</w:t>
            </w:r>
          </w:p>
        </w:tc>
        <w:tc>
          <w:tcPr>
            <w:tcW w:type="dxa" w:w="6260"/>
          </w:tcPr>
          <w:p>
            <w:r>
              <w:rPr>
                <w:rFonts w:ascii="Calibri" w:hAnsi="Calibri"/>
                <w:color w:val="202124"/>
                <w:sz w:val="18"/>
              </w:rPr>
              <w:t>Représentent le dossier client, ses pièces et son instruction par la banque.</w:t>
            </w:r>
          </w:p>
        </w:tc>
      </w:tr>
      <w:tr>
        <w:tc>
          <w:tcPr>
            <w:tcW w:type="dxa" w:w="3100"/>
          </w:tcPr>
          <w:p>
            <w:r>
              <w:rPr>
                <w:rFonts w:ascii="Calibri" w:hAnsi="Calibri"/>
                <w:color w:val="202124"/>
                <w:sz w:val="18"/>
              </w:rPr>
              <w:t>Notification / AuditLog</w:t>
            </w:r>
          </w:p>
        </w:tc>
        <w:tc>
          <w:tcPr>
            <w:tcW w:type="dxa" w:w="6260"/>
          </w:tcPr>
          <w:p>
            <w:r>
              <w:rPr>
                <w:rFonts w:ascii="Calibri" w:hAnsi="Calibri"/>
                <w:color w:val="202124"/>
                <w:sz w:val="18"/>
              </w:rPr>
              <w:t>Assurent la communication et la traçabilité transverses.</w:t>
            </w:r>
          </w:p>
        </w:tc>
      </w:tr>
    </w:tbl>
    <w:p>
      <w:pPr>
        <w:spacing w:after="60"/>
      </w:pPr>
    </w:p>
    <w:p>
      <w:pPr>
        <w:pStyle w:val="Heading2"/>
      </w:pPr>
      <w:r>
        <w:rPr>
          <w:rFonts w:ascii="Calibri" w:hAnsi="Calibri"/>
        </w:rPr>
        <w:t>3.7 Conclusion</w:t>
      </w:r>
    </w:p>
    <w:p>
      <w:r>
        <w:rPr>
          <w:rFonts w:ascii="Calibri" w:hAnsi="Calibri"/>
        </w:rPr>
        <w:t>La conception retenue mutualise l’infrastructure tout en tenantisant les opérations bancaires. Les diagrammes UML complètent l’analyse en décrivant les acteurs, les scénarios et les agrégats métier. Les deux chapitres suivants montrent la réalisation concrète de ces choix.</w:t>
      </w:r>
    </w:p>
    <w:p>
      <w:pPr>
        <w:pStyle w:val="Heading1"/>
      </w:pPr>
      <w:r>
        <w:rPr>
          <w:rFonts w:ascii="Calibri" w:hAnsi="Calibri"/>
        </w:rPr>
        <w:t>Chapitre 4 — Réalisation complète de la plateforme Matchia : de la demande de marketplace aux espaces métier</w:t>
      </w:r>
    </w:p>
    <w:p>
      <w:r>
        <w:rPr>
          <w:rFonts w:ascii="Calibri" w:hAnsi="Calibri"/>
        </w:rPr>
        <w:t>Ce chapitre décrit le fonctionnement réel de Matchia à partir des routes React, des services front-end, des contrôleurs Spring Boot et des services métier du projet. La plateforme repose sur une application SaaS unique, contextualisée par tenant : une banque formule une demande, le SaaS l’instruit, le paiement déclenche l’activation, puis la banque administre sa marketplace, ses stores et ses modules. Les parcours concessionnaire, client et financement restent rattachés à cette marketplace active.</w:t>
      </w:r>
    </w:p>
    <w:p>
      <w:r>
        <w:rPr>
          <w:rFonts w:ascii="Calibri" w:hAnsi="Calibri"/>
        </w:rPr>
        <w:t>Les composants techniques qui portent ce cycle sont notamment JoinPage et requestService côté client, JoinRequestController / RequestController et RequestService côté serveur, puis PaymentController / PaymentService, SubscriptionController / SubscriptionService et BankAdminCredentialsService. La traçabilité est complétée par NotificationService, EmailService et l’audit asynchrone exposé dans le back-office SaaS.</w:t>
      </w:r>
    </w:p>
    <w:p>
      <w:pPr>
        <w:pStyle w:val="Heading2"/>
      </w:pPr>
      <w:r>
        <w:rPr>
          <w:rFonts w:ascii="Calibri" w:hAnsi="Calibri"/>
        </w:rPr>
        <w:t>4.1 Socle d’identité, de sécurité et de contexte tenant</w:t>
      </w:r>
    </w:p>
    <w:p>
      <w:r>
        <w:rPr>
          <w:rFonts w:ascii="Calibri" w:hAnsi="Calibri"/>
        </w:rPr>
        <w:t>Le socle commun de Matchia garantit que les fonctions décrites dans les sections suivantes s’exécutent dans un contexte sécurisé et correctement isolé. L’authentification s’appuie sur un jeton JWT d’accès, un mécanisme de rafraîchissement de session, la déconnexion, la récupération et la réinitialisation de mot de passe, ainsi que la consultation du profil connecté. Les routes React sont protégées et le contrôle d’autorisation est également appliqué côté back-end.</w:t>
      </w:r>
    </w:p>
    <w:p>
      <w:r>
        <w:rPr>
          <w:rFonts w:ascii="Calibri" w:hAnsi="Calibri"/>
        </w:rPr>
        <w:t>Quatre rôles structurent les espaces de la plateforme : ADMIN_SAAS, ADMIN_BANK, DEALER_ADMIN et CLIENT. Chacun accède uniquement aux fonctionnalités de son périmètre. Le contexte tenant est conservé dans les routes de marketplace et synchronisé par TenantUrlSync ; une même application React et Spring Boot sert ainsi plusieurs banques sans mélange de leurs utilisateurs, contenus, stores, modules et données métier.</w:t>
      </w:r>
    </w:p>
    <w:p>
      <w:pPr>
        <w:pStyle w:val="ListBullet"/>
      </w:pPr>
      <w:r>
        <w:rPr>
          <w:rFonts w:ascii="Calibri" w:hAnsi="Calibri"/>
        </w:rPr>
        <w:t>Le SaaS administre le catalogue commun, les demandes, les banques, les abonnements et la gouvernance globale.</w:t>
      </w:r>
    </w:p>
    <w:p>
      <w:pPr>
        <w:pStyle w:val="ListBullet"/>
      </w:pPr>
      <w:r>
        <w:rPr>
          <w:rFonts w:ascii="Calibri" w:hAnsi="Calibri"/>
        </w:rPr>
        <w:t>L’administrateur bancaire exploite exclusivement la marketplace de sa banque, sous réserve que son compte et son abonnement soient actifs.</w:t>
      </w:r>
    </w:p>
    <w:p>
      <w:pPr>
        <w:pStyle w:val="ListBullet"/>
      </w:pPr>
      <w:r>
        <w:rPr>
          <w:rFonts w:ascii="Calibri" w:hAnsi="Calibri"/>
        </w:rPr>
        <w:t>Les concessionnaires et clients sont rattachés au tenant et aux règles de visibilité du store concerné.</w:t>
      </w:r>
    </w:p>
    <w:p>
      <w:pPr>
        <w:pStyle w:val="Heading2"/>
      </w:pPr>
      <w:r>
        <w:rPr>
          <w:rFonts w:ascii="Calibri" w:hAnsi="Calibri"/>
        </w:rPr>
        <w:t>4.2 Demande de création d’une marketplace bancaire</w:t>
      </w:r>
    </w:p>
    <w:p>
      <w:r>
        <w:rPr>
          <w:rFonts w:ascii="Calibri" w:hAnsi="Calibri"/>
        </w:rPr>
        <w:t>La demande publique est accessible depuis la route « /rejoindre ». Le composant JoinPage orchestre un formulaire à quatre étapes : Informations bancaires, Coordonnées, Boutiques &amp; Modules et Finalisation. Cette organisation évite de soumettre une demande incomplète et conserve un état de progression visible pour le demandeur.</w:t>
      </w:r>
    </w:p>
    <w:p>
      <w:pPr>
        <w:spacing w:before="120" w:after="60"/>
        <w:jc w:val="center"/>
      </w:pPr>
      <w:r>
        <w:drawing>
          <wp:inline xmlns:a="http://schemas.openxmlformats.org/drawingml/2006/main" xmlns:pic="http://schemas.openxmlformats.org/drawingml/2006/picture">
            <wp:extent cx="5715000" cy="2413000"/>
            <wp:docPr id="10" name="Picture 10" descr="Figure 4.1 — Workflow réel de création d’une demande de marketplace bancaire." title="Figure 4.1 — Workflow réel de création d’une demande de marketplace bancaire."/>
            <wp:cNvGraphicFramePr>
              <a:graphicFrameLocks noChangeAspect="1"/>
            </wp:cNvGraphicFramePr>
            <a:graphic>
              <a:graphicData uri="http://schemas.openxmlformats.org/drawingml/2006/picture">
                <pic:pic>
                  <pic:nvPicPr>
                    <pic:cNvPr id="0" name="fig_4_1_demande_marketplace.png"/>
                    <pic:cNvPicPr/>
                  </pic:nvPicPr>
                  <pic:blipFill>
                    <a:blip r:embed="rId20"/>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4.1 — Workflow réel de création d’une demande de marketplace bancaire.</w:t>
      </w:r>
    </w:p>
    <w:p>
      <w:r>
        <w:rPr>
          <w:rFonts w:ascii="Calibri" w:hAnsi="Calibri"/>
        </w:rPr>
        <w:t>La figure 4.1 résume le processus : la demande ne peut être envoyée qu’après vérification de l’adresse e-mail du contact et validation des sélections de stores et de modules. Les informations commerciales sont ensuite transmises dans la demande, y compris le détail des modules sélectionnés par store et leur prix.</w:t>
      </w:r>
    </w:p>
    <w:p>
      <w:pPr>
        <w:pStyle w:val="Heading3"/>
      </w:pPr>
      <w:r>
        <w:rPr>
          <w:rFonts w:ascii="Calibri" w:hAnsi="Calibri"/>
        </w:rPr>
        <w:t>4.2.1 Accès et informations bancaires</w:t>
      </w:r>
    </w:p>
    <w:p>
      <w:r>
        <w:rPr>
          <w:rFonts w:ascii="Calibri" w:hAnsi="Calibri"/>
        </w:rPr>
        <w:t>Le premier écran recueille le nom de la banque, son adresse e-mail et son numéro de téléphone tunisien, saisi avec le préfixe +216. Il propose également le site web, une description limitée à 1 000 caractères, l’année d’établissement et le téléversement obligatoire du logo. Les fichiers image admis pour ce logo sont PNG, JPG ou SVG, avec une taille maximale de 2 Mo dans l’interface publique.</w:t>
      </w:r>
    </w:p>
    <w:p>
      <w:r>
        <w:rPr>
          <w:rFonts w:ascii="Calibri" w:hAnsi="Calibri"/>
        </w:rPr>
        <w:t>Ces informations définissent l’identité de la future banque et sont contrôlées côté front puis côté serveur. Le back-end valide notamment le format du téléphone, la cohérence de l’année, l’unicité du slug de marketplace et la présence du logo dans le cas d’une demande de type join.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w:t>
            </w:r>
          </w:p>
          <w:p>
            <w:pPr>
              <w:jc w:val="center"/>
            </w:pPr>
            <w:r>
              <w:rPr>
                <w:rFonts w:ascii="Calibri" w:hAnsi="Calibri"/>
                <w:b/>
                <w:color w:val="202124"/>
                <w:sz w:val="24"/>
              </w:rPr>
              <w:t>Accès à la demande de marketplace</w:t>
            </w:r>
          </w:p>
          <w:p>
            <w:pPr>
              <w:jc w:val="center"/>
            </w:pPr>
            <w:r>
              <w:rPr>
                <w:rFonts w:ascii="Calibri" w:hAnsi="Calibri"/>
                <w:i/>
                <w:color w:val="5B6573"/>
                <w:sz w:val="18"/>
              </w:rPr>
              <w:t>Insérer la page « Rejoindre Matchia » avec le stepper, puis le premier écran « Informations bancaires » renseigné avec des données de démonstration anonymisées.</w:t>
            </w:r>
          </w:p>
        </w:tc>
      </w:tr>
    </w:tbl>
    <w:p>
      <w:pPr>
        <w:spacing w:after="40"/>
      </w:pPr>
    </w:p>
    <w:p>
      <w:pPr>
        <w:pStyle w:val="Caption"/>
        <w:jc w:val="center"/>
      </w:pPr>
      <w:r>
        <w:rPr>
          <w:rFonts w:ascii="Calibri" w:hAnsi="Calibri"/>
          <w:i/>
          <w:color w:val="5B6573"/>
          <w:sz w:val="18"/>
        </w:rPr>
        <w:t>Capture 4.1 - Accès à la demande de marketplace.</w:t>
      </w:r>
    </w:p>
    <w:p>
      <w:pPr>
        <w:pStyle w:val="Heading3"/>
      </w:pPr>
      <w:r>
        <w:rPr>
          <w:rFonts w:ascii="Calibri" w:hAnsi="Calibri"/>
        </w:rPr>
        <w:t>4.2.2 Informations du futur administrateur bancaire et vérification e-mail</w:t>
      </w:r>
    </w:p>
    <w:p>
      <w:r>
        <w:rPr>
          <w:rFonts w:ascii="Calibri" w:hAnsi="Calibri"/>
        </w:rPr>
        <w:t>La deuxième étape porte sur le contact principal qui deviendra administrateur bancaire après activation : nom, prénom, adresse e-mail, numéro de téléphone tunisien et image du contact. L’image est obligatoire dans le formulaire ; les formats PNG, JPG, WEBP ou SVG sont acceptés, dans la limite de 2 Mo.</w:t>
      </w:r>
    </w:p>
    <w:p>
      <w:r>
        <w:rPr>
          <w:rFonts w:ascii="Calibri" w:hAnsi="Calibri"/>
        </w:rPr>
        <w:t>L’adresse du contact n’est pas seulement déclarative. Après contrôle des champs, Matchia envoie un code à six chiffres par e-mail. Le code est valable dix minutes et ne peut être consommé qu’une seule fois. Le demandeur le saisit dans l’interface ; un jeton de vérification est alors retourné et exigé lors de la création définitive de la demande. Un changement d’adresse e-mail annule l’état de vérification, et un délai de renvoi est appliqué dans l’interface.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w:t>
            </w:r>
          </w:p>
          <w:p>
            <w:pPr>
              <w:jc w:val="center"/>
            </w:pPr>
            <w:r>
              <w:rPr>
                <w:rFonts w:ascii="Calibri" w:hAnsi="Calibri"/>
                <w:b/>
                <w:color w:val="202124"/>
                <w:sz w:val="24"/>
              </w:rPr>
              <w:t>Coordonnées du futur administrateur bancaire</w:t>
            </w:r>
          </w:p>
          <w:p>
            <w:pPr>
              <w:jc w:val="center"/>
            </w:pPr>
            <w:r>
              <w:rPr>
                <w:rFonts w:ascii="Calibri" w:hAnsi="Calibri"/>
                <w:i/>
                <w:color w:val="5B6573"/>
                <w:sz w:val="18"/>
              </w:rPr>
              <w:t>Insérer l’étape de coordonnées avec nom, prénom, e-mail, téléphone et zone de téléversement de l’image, sans données personnelles réelles.</w:t>
            </w:r>
          </w:p>
        </w:tc>
      </w:tr>
    </w:tbl>
    <w:p>
      <w:pPr>
        <w:spacing w:after="40"/>
      </w:pPr>
    </w:p>
    <w:p>
      <w:pPr>
        <w:pStyle w:val="Caption"/>
        <w:jc w:val="center"/>
      </w:pPr>
      <w:r>
        <w:rPr>
          <w:rFonts w:ascii="Calibri" w:hAnsi="Calibri"/>
          <w:i/>
          <w:color w:val="5B6573"/>
          <w:sz w:val="18"/>
        </w:rPr>
        <w:t>Capture 4.2 - Coordonnées du futur administrateur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4.3</w:t>
            </w:r>
          </w:p>
          <w:p>
            <w:pPr>
              <w:jc w:val="center"/>
            </w:pPr>
            <w:r>
              <w:rPr>
                <w:rFonts w:ascii="Calibri" w:hAnsi="Calibri"/>
                <w:b/>
                <w:color w:val="202124"/>
                <w:sz w:val="24"/>
              </w:rPr>
              <w:t>Vérification de l’adresse e-mail du contact</w:t>
            </w:r>
          </w:p>
          <w:p>
            <w:pPr>
              <w:jc w:val="center"/>
            </w:pPr>
            <w:r>
              <w:rPr>
                <w:rFonts w:ascii="Calibri" w:hAnsi="Calibri"/>
                <w:i/>
                <w:color w:val="5B6573"/>
                <w:sz w:val="18"/>
              </w:rPr>
              <w:t>Insérer le bloc de saisie du code à six chiffres et l’état « Adresse e-mail vérifiée ». La capture existante de l’e-mail peut être utilisée uniquement après anonymisation de l’adresse et du code.</w:t>
            </w:r>
          </w:p>
        </w:tc>
      </w:tr>
    </w:tbl>
    <w:p>
      <w:pPr>
        <w:spacing w:after="40"/>
      </w:pPr>
    </w:p>
    <w:p>
      <w:pPr>
        <w:pStyle w:val="Caption"/>
        <w:jc w:val="center"/>
      </w:pPr>
      <w:r>
        <w:rPr>
          <w:rFonts w:ascii="Calibri" w:hAnsi="Calibri"/>
          <w:i/>
          <w:color w:val="5B6573"/>
          <w:sz w:val="18"/>
        </w:rPr>
        <w:t>Capture 4.3 - Vérification de l’adresse e-mail du contact.</w:t>
      </w:r>
    </w:p>
    <w:p>
      <w:pPr>
        <w:pStyle w:val="Heading3"/>
      </w:pPr>
      <w:r>
        <w:rPr>
          <w:rFonts w:ascii="Calibri" w:hAnsi="Calibri"/>
        </w:rPr>
        <w:t>4.2.3 Configuration initiale, sélection des stores et modules</w:t>
      </w:r>
    </w:p>
    <w:p>
      <w:r>
        <w:rPr>
          <w:rFonts w:ascii="Calibri" w:hAnsi="Calibri"/>
        </w:rPr>
        <w:t>La troisième étape réunit la configuration de la marketplace et la composition de l’offre. La banque renseigne un slug en minuscules, chiffres et tirets, une description limitée à 500 caractères, deux couleurs d’identité et une bannière obligatoire. Elle choisit ensuite au moins un store parmi le catalogue actif. Dans le jeu de données visible dans les captures du projet, les univers proposés sont mobile, médical, éducation, véhicule, immobilier et yassmine ; le catalogue reste administrable côté SaaS et n’est donc pas figé dans le code.</w:t>
      </w:r>
    </w:p>
    <w:p>
      <w:r>
        <w:rPr>
          <w:rFonts w:ascii="Calibri" w:hAnsi="Calibri"/>
        </w:rPr>
        <w:t>Après la sélection d’un store, l’application charge les modules actifs compatibles à travers l’association ModuleStore. Pour tout store qui possède des modules, au moins un module doit être sélectionné. Le choix est stocké par couple store–module, et non comme une liste globale : la demande conserve pour chaque store son libellé, son prix, les modules retenus, leur prix et, lorsqu’ils existent, leurs paramètres. Cette granularité permet ensuite de provisionner exactement les services achetés.</w:t>
      </w:r>
    </w:p>
    <w:p>
      <w:pPr>
        <w:pStyle w:val="ListBullet"/>
      </w:pPr>
      <w:r>
        <w:rPr>
          <w:rFonts w:ascii="Calibri" w:hAnsi="Calibri"/>
        </w:rPr>
        <w:t>Le module « bannière » est un module fonctionnel, non une page de navigation ; il autorise l’affichage des bannières propres au store.</w:t>
      </w:r>
    </w:p>
    <w:p>
      <w:pPr>
        <w:pStyle w:val="ListBullet"/>
      </w:pPr>
      <w:r>
        <w:rPr>
          <w:rFonts w:ascii="Calibri" w:hAnsi="Calibri"/>
        </w:rPr>
        <w:t>Le chatbot est également considéré comme un module fonctionnel et peut être rendu visible dans le contexte du store concerné.</w:t>
      </w:r>
    </w:p>
    <w:p>
      <w:pPr>
        <w:pStyle w:val="ListBullet"/>
      </w:pPr>
      <w:r>
        <w:rPr>
          <w:rFonts w:ascii="Calibri" w:hAnsi="Calibri"/>
        </w:rPr>
        <w:t>Les modules de comparaison et de simulation donnent accès aux routes publiques correspondantes uniquement lorsqu’ils sont associés et actifs pour le store.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4.4</w:t>
            </w:r>
          </w:p>
          <w:p>
            <w:pPr>
              <w:jc w:val="center"/>
            </w:pPr>
            <w:r>
              <w:rPr>
                <w:rFonts w:ascii="Calibri" w:hAnsi="Calibri"/>
                <w:b/>
                <w:color w:val="202124"/>
                <w:sz w:val="24"/>
              </w:rPr>
              <w:t>Configuration de la marketplace et sélection des stores</w:t>
            </w:r>
          </w:p>
          <w:p>
            <w:pPr>
              <w:jc w:val="center"/>
            </w:pPr>
            <w:r>
              <w:rPr>
                <w:rFonts w:ascii="Calibri" w:hAnsi="Calibri"/>
                <w:i/>
                <w:color w:val="5B6573"/>
                <w:sz w:val="18"/>
              </w:rPr>
              <w:t>Insérer l’étape affichant le slug, les couleurs, la bannière et les cartes de stores sélectionnables.</w:t>
            </w:r>
          </w:p>
        </w:tc>
      </w:tr>
    </w:tbl>
    <w:p>
      <w:pPr>
        <w:spacing w:after="40"/>
      </w:pPr>
    </w:p>
    <w:p>
      <w:pPr>
        <w:pStyle w:val="Caption"/>
        <w:jc w:val="center"/>
      </w:pPr>
      <w:r>
        <w:rPr>
          <w:rFonts w:ascii="Calibri" w:hAnsi="Calibri"/>
          <w:i/>
          <w:color w:val="5B6573"/>
          <w:sz w:val="18"/>
        </w:rPr>
        <w:t>Capture 4.4 - Configuration de la marketplace et sélection des stores.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4.5</w:t>
            </w:r>
          </w:p>
          <w:p>
            <w:pPr>
              <w:jc w:val="center"/>
            </w:pPr>
            <w:r>
              <w:rPr>
                <w:rFonts w:ascii="Calibri" w:hAnsi="Calibri"/>
                <w:b/>
                <w:color w:val="202124"/>
                <w:sz w:val="24"/>
              </w:rPr>
              <w:t>Sélection des modules par store</w:t>
            </w:r>
          </w:p>
          <w:p>
            <w:pPr>
              <w:jc w:val="center"/>
            </w:pPr>
            <w:r>
              <w:rPr>
                <w:rFonts w:ascii="Calibri" w:hAnsi="Calibri"/>
                <w:i/>
                <w:color w:val="5B6573"/>
                <w:sz w:val="18"/>
              </w:rPr>
              <w:t>Insérer le panneau d’un store choisi avec ses modules compatibles, leurs prix et les sélections associées.</w:t>
            </w:r>
          </w:p>
        </w:tc>
      </w:tr>
    </w:tbl>
    <w:p>
      <w:pPr>
        <w:spacing w:after="40"/>
      </w:pPr>
    </w:p>
    <w:p>
      <w:pPr>
        <w:pStyle w:val="Caption"/>
        <w:jc w:val="center"/>
      </w:pPr>
      <w:r>
        <w:rPr>
          <w:rFonts w:ascii="Calibri" w:hAnsi="Calibri"/>
          <w:i/>
          <w:color w:val="5B6573"/>
          <w:sz w:val="18"/>
        </w:rPr>
        <w:t>Capture 4.5 - Sélection des modules par store.</w:t>
      </w:r>
    </w:p>
    <w:p>
      <w:pPr>
        <w:pStyle w:val="Heading3"/>
      </w:pPr>
      <w:r>
        <w:rPr>
          <w:rFonts w:ascii="Calibri" w:hAnsi="Calibri"/>
        </w:rPr>
        <w:t>4.2.4 Récapitulatif, soumission et confirmation</w:t>
      </w:r>
    </w:p>
    <w:p>
      <w:r>
        <w:rPr>
          <w:rFonts w:ascii="Calibri" w:hAnsi="Calibri"/>
        </w:rPr>
        <w:t>La dernière étape affiche une synthèse avant envoi : identité bancaire, contact administrateur, informations de marketplace, stores, modules et montant mensuel calculé. Le service requestService envoie ensuite une requête multipart contenant les fichiers (logo, image du contact et bannière) ainsi que la représentation JSON des stores et modules. Le serveur crée une Request de type join avec le statut initial pending.</w:t>
      </w:r>
    </w:p>
    <w:p>
      <w:r>
        <w:rPr>
          <w:rFonts w:ascii="Calibri" w:hAnsi="Calibri"/>
        </w:rPr>
        <w:t>La création produit deux retours complémentaires : une notification système destinée au SaaS afin de signaler une demande à instruire, et un e-mail de confirmation destiné au contact de la banque. L’interface publique affiche enfin le message « Demande soumise avec succès » et invite le demandeur à revenir à l’accueil. À ce stade, aucune marketplace n’est publique et aucun compte bancaire n’est actif.</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4.6</w:t>
            </w:r>
          </w:p>
          <w:p>
            <w:pPr>
              <w:jc w:val="center"/>
            </w:pPr>
            <w:r>
              <w:rPr>
                <w:rFonts w:ascii="Calibri" w:hAnsi="Calibri"/>
                <w:b/>
                <w:color w:val="202124"/>
                <w:sz w:val="24"/>
              </w:rPr>
              <w:t>Récapitulatif avant soumission</w:t>
            </w:r>
          </w:p>
          <w:p>
            <w:pPr>
              <w:jc w:val="center"/>
            </w:pPr>
            <w:r>
              <w:rPr>
                <w:rFonts w:ascii="Calibri" w:hAnsi="Calibri"/>
                <w:i/>
                <w:color w:val="5B6573"/>
                <w:sz w:val="18"/>
              </w:rPr>
              <w:t>Insérer la vue finale listant les informations de la banque, les stores, les modules et le montant total mensuel.</w:t>
            </w:r>
          </w:p>
        </w:tc>
      </w:tr>
    </w:tbl>
    <w:p>
      <w:pPr>
        <w:spacing w:after="40"/>
      </w:pPr>
    </w:p>
    <w:p>
      <w:pPr>
        <w:pStyle w:val="Caption"/>
        <w:jc w:val="center"/>
      </w:pPr>
      <w:r>
        <w:rPr>
          <w:rFonts w:ascii="Calibri" w:hAnsi="Calibri"/>
          <w:i/>
          <w:color w:val="5B6573"/>
          <w:sz w:val="18"/>
        </w:rPr>
        <w:t>Capture 4.6 - Récapitulatif avant soumission.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4.7</w:t>
            </w:r>
          </w:p>
          <w:p>
            <w:pPr>
              <w:jc w:val="center"/>
            </w:pPr>
            <w:r>
              <w:rPr>
                <w:rFonts w:ascii="Calibri" w:hAnsi="Calibri"/>
                <w:b/>
                <w:color w:val="202124"/>
                <w:sz w:val="24"/>
              </w:rPr>
              <w:t>Confirmation de la demande de marketplace</w:t>
            </w:r>
          </w:p>
          <w:p>
            <w:pPr>
              <w:jc w:val="center"/>
            </w:pPr>
            <w:r>
              <w:rPr>
                <w:rFonts w:ascii="Calibri" w:hAnsi="Calibri"/>
                <w:i/>
                <w:color w:val="5B6573"/>
                <w:sz w:val="18"/>
              </w:rPr>
              <w:t>Insérer l’écran de confirmation après l’envoi. Il doit afficher le succès de la soumission sans révéler de données personnelles.</w:t>
            </w:r>
          </w:p>
        </w:tc>
      </w:tr>
    </w:tbl>
    <w:p>
      <w:pPr>
        <w:spacing w:after="40"/>
      </w:pPr>
    </w:p>
    <w:p>
      <w:pPr>
        <w:pStyle w:val="Caption"/>
        <w:jc w:val="center"/>
      </w:pPr>
      <w:r>
        <w:rPr>
          <w:rFonts w:ascii="Calibri" w:hAnsi="Calibri"/>
          <w:i/>
          <w:color w:val="5B6573"/>
          <w:sz w:val="18"/>
        </w:rPr>
        <w:t>Capture 4.7 - Confirmation de la demande de marketplace.</w:t>
      </w:r>
    </w:p>
    <w:p>
      <w:pPr>
        <w:pStyle w:val="Heading2"/>
      </w:pPr>
      <w:r>
        <w:rPr>
          <w:rFonts w:ascii="Calibri" w:hAnsi="Calibri"/>
        </w:rPr>
        <w:t>4.3 Back-office SaaS : instruction, pilotage et gouvernance</w:t>
      </w:r>
    </w:p>
    <w:p>
      <w:r>
        <w:rPr>
          <w:rFonts w:ascii="Calibri" w:hAnsi="Calibri"/>
        </w:rPr>
        <w:t>L’accès au back-office SaaS est protégé par rôle. Après authentification, l’administrateur SaaS dispose d’un tableau de bord consolidé et de routes dédiées aux banques, demandes, contenu, stores &amp; modules, marketplaces, offres &amp; abonnements, utilisateurs, concessionnaires, paramètres, audit et profil. Les notifications non lues sont également accessibles depuis le layout d’administration.</w:t>
      </w:r>
    </w:p>
    <w:p>
      <w:pPr>
        <w:spacing w:before="120" w:after="60"/>
        <w:jc w:val="center"/>
      </w:pPr>
      <w:r>
        <w:drawing>
          <wp:inline xmlns:a="http://schemas.openxmlformats.org/drawingml/2006/main" xmlns:pic="http://schemas.openxmlformats.org/drawingml/2006/picture">
            <wp:extent cx="5715000" cy="4256484"/>
            <wp:docPr id="11" name="Picture 11" descr="Figure 4.2 — Tableau de bord SaaS : banques actives, demandes, revenus, alertes et actions à traiter." title="Figure 4.2 — Tableau de bord SaaS : banques actives, demandes, revenus, alertes et actions à traiter."/>
            <wp:cNvGraphicFramePr>
              <a:graphicFrameLocks noChangeAspect="1"/>
            </wp:cNvGraphicFramePr>
            <a:graphic>
              <a:graphicData uri="http://schemas.openxmlformats.org/drawingml/2006/picture">
                <pic:pic>
                  <pic:nvPicPr>
                    <pic:cNvPr id="0" name="dashboard.png"/>
                    <pic:cNvPicPr/>
                  </pic:nvPicPr>
                  <pic:blipFill>
                    <a:blip r:embed="rId21"/>
                    <a:stretch>
                      <a:fillRect/>
                    </a:stretch>
                  </pic:blipFill>
                  <pic:spPr>
                    <a:xfrm>
                      <a:off x="0" y="0"/>
                      <a:ext cx="5715000" cy="4256484"/>
                    </a:xfrm>
                    <a:prstGeom prst="rect"/>
                  </pic:spPr>
                </pic:pic>
              </a:graphicData>
            </a:graphic>
          </wp:inline>
        </w:drawing>
      </w:r>
    </w:p>
    <w:p>
      <w:pPr>
        <w:pStyle w:val="Caption"/>
        <w:jc w:val="center"/>
      </w:pPr>
      <w:r>
        <w:rPr>
          <w:rFonts w:ascii="Calibri" w:hAnsi="Calibri"/>
          <w:i/>
          <w:color w:val="5B6573"/>
          <w:sz w:val="18"/>
        </w:rPr>
        <w:t>Figure 4.2 — Tableau de bord SaaS : banques actives, demandes, revenus, alertes et actions à traiter.</w:t>
      </w:r>
    </w:p>
    <w:p>
      <w:r>
        <w:rPr>
          <w:rFonts w:ascii="Calibri" w:hAnsi="Calibri"/>
        </w:rPr>
        <w:t>La figure 4.2 montre les indicateurs effectivement calculés dans l’espace SaaS : nombre de banques, demandes en attente, utilisateurs, stores actifs, revenu mensuel, distribution des marketplaces par store et alertes d’expiration. Le tableau de bord constitue donc un point de pilotage, tandis que les opérations de détail restent réalisées dans les écrans dédiés.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shd w:fill="F4F6F9"/>
          </w:tcPr>
          <w:p>
            <w:r>
              <w:rPr>
                <w:rFonts w:ascii="Calibri" w:hAnsi="Calibri"/>
                <w:b/>
                <w:color w:val="202124"/>
                <w:sz w:val="18"/>
              </w:rPr>
              <w:t>Espace SaaS</w:t>
            </w:r>
          </w:p>
        </w:tc>
        <w:tc>
          <w:tcPr>
            <w:tcW w:type="dxa" w:w="6860"/>
            <w:tcMar>
              <w:top w:w="80" w:type="dxa"/>
              <w:start w:w="120" w:type="dxa"/>
              <w:bottom w:w="80" w:type="dxa"/>
              <w:end w:w="120" w:type="dxa"/>
            </w:tcMar>
            <w:shd w:fill="F4F6F9"/>
          </w:tcPr>
          <w:p>
            <w:r>
              <w:rPr>
                <w:rFonts w:ascii="Calibri" w:hAnsi="Calibri"/>
                <w:b/>
                <w:color w:val="202124"/>
                <w:sz w:val="18"/>
              </w:rPr>
              <w:t>Fonctions réalisées</w:t>
            </w:r>
          </w:p>
        </w:tc>
      </w:tr>
      <w:tr>
        <w:tc>
          <w:tcPr>
            <w:tcW w:type="dxa" w:w="2500"/>
          </w:tcPr>
          <w:p>
            <w:r>
              <w:rPr>
                <w:rFonts w:ascii="Calibri" w:hAnsi="Calibri"/>
                <w:color w:val="202124"/>
                <w:sz w:val="18"/>
              </w:rPr>
              <w:t>Demandes</w:t>
            </w:r>
          </w:p>
        </w:tc>
        <w:tc>
          <w:tcPr>
            <w:tcW w:type="dxa" w:w="6860"/>
          </w:tcPr>
          <w:p>
            <w:r>
              <w:rPr>
                <w:rFonts w:ascii="Calibri" w:hAnsi="Calibri"/>
                <w:color w:val="202124"/>
                <w:sz w:val="18"/>
              </w:rPr>
              <w:t>Liste, recherche, consultation du détail, stores/modules retenus, approbation, rejet motivé et statut.</w:t>
            </w:r>
          </w:p>
        </w:tc>
      </w:tr>
      <w:tr>
        <w:tc>
          <w:tcPr>
            <w:tcW w:type="dxa" w:w="2500"/>
          </w:tcPr>
          <w:p>
            <w:r>
              <w:rPr>
                <w:rFonts w:ascii="Calibri" w:hAnsi="Calibri"/>
                <w:color w:val="202124"/>
                <w:sz w:val="18"/>
              </w:rPr>
              <w:t>Banques et marketplaces</w:t>
            </w:r>
          </w:p>
        </w:tc>
        <w:tc>
          <w:tcPr>
            <w:tcW w:type="dxa" w:w="6860"/>
          </w:tcPr>
          <w:p>
            <w:r>
              <w:rPr>
                <w:rFonts w:ascii="Calibri" w:hAnsi="Calibri"/>
                <w:color w:val="202124"/>
                <w:sz w:val="18"/>
              </w:rPr>
              <w:t>Consultation/gestion des banques, du tenant, du branding, des stores et des modules associés.</w:t>
            </w:r>
          </w:p>
        </w:tc>
      </w:tr>
      <w:tr>
        <w:tc>
          <w:tcPr>
            <w:tcW w:type="dxa" w:w="2500"/>
          </w:tcPr>
          <w:p>
            <w:r>
              <w:rPr>
                <w:rFonts w:ascii="Calibri" w:hAnsi="Calibri"/>
                <w:color w:val="202124"/>
                <w:sz w:val="18"/>
              </w:rPr>
              <w:t>Catalogue et offres</w:t>
            </w:r>
          </w:p>
        </w:tc>
        <w:tc>
          <w:tcPr>
            <w:tcW w:type="dxa" w:w="6860"/>
          </w:tcPr>
          <w:p>
            <w:r>
              <w:rPr>
                <w:rFonts w:ascii="Calibri" w:hAnsi="Calibri"/>
                <w:color w:val="202124"/>
                <w:sz w:val="18"/>
              </w:rPr>
              <w:t>Gestion du catalogue de stores, des modules et de leurs associations ; suivi des offres, abonnements et paiements.</w:t>
            </w:r>
          </w:p>
        </w:tc>
      </w:tr>
      <w:tr>
        <w:tc>
          <w:tcPr>
            <w:tcW w:type="dxa" w:w="2500"/>
          </w:tcPr>
          <w:p>
            <w:r>
              <w:rPr>
                <w:rFonts w:ascii="Calibri" w:hAnsi="Calibri"/>
                <w:color w:val="202124"/>
                <w:sz w:val="18"/>
              </w:rPr>
              <w:t>Gouvernance</w:t>
            </w:r>
          </w:p>
        </w:tc>
        <w:tc>
          <w:tcPr>
            <w:tcW w:type="dxa" w:w="6860"/>
          </w:tcPr>
          <w:p>
            <w:r>
              <w:rPr>
                <w:rFonts w:ascii="Calibri" w:hAnsi="Calibri"/>
                <w:color w:val="202124"/>
                <w:sz w:val="18"/>
              </w:rPr>
              <w:t>Utilisateurs, demandes concessionnaires, notifications, journal d’audit et export CSV des logs.</w:t>
            </w:r>
          </w:p>
        </w:tc>
      </w:tr>
      <w:tr>
        <w:tc>
          <w:tcPr>
            <w:tcW w:type="dxa" w:w="2500"/>
          </w:tcPr>
          <w:p>
            <w:r>
              <w:rPr>
                <w:rFonts w:ascii="Calibri" w:hAnsi="Calibri"/>
                <w:color w:val="202124"/>
                <w:sz w:val="18"/>
              </w:rPr>
              <w:t>Aide à l’analyse</w:t>
            </w:r>
          </w:p>
        </w:tc>
        <w:tc>
          <w:tcPr>
            <w:tcW w:type="dxa" w:w="6860"/>
          </w:tcPr>
          <w:p>
            <w:r>
              <w:rPr>
                <w:rFonts w:ascii="Calibri" w:hAnsi="Calibri"/>
                <w:color w:val="202124"/>
                <w:sz w:val="18"/>
              </w:rPr>
              <w:t>Widget d’assistant IA réservé à l’administrateur SaaS, limité aux analyses autorisées en lecture seule.</w:t>
            </w:r>
          </w:p>
        </w:tc>
      </w:tr>
    </w:tbl>
    <w:p>
      <w:pPr>
        <w:spacing w:after="60"/>
      </w:pPr>
    </w:p>
    <w:p>
      <w:pPr>
        <w:pStyle w:val="Heading3"/>
      </w:pPr>
      <w:r>
        <w:rPr>
          <w:rFonts w:ascii="Calibri" w:hAnsi="Calibri"/>
        </w:rPr>
        <w:t>4.3.1 Traitement d’une demande de marketplace</w:t>
      </w:r>
    </w:p>
    <w:p>
      <w:r>
        <w:rPr>
          <w:rFonts w:ascii="Calibri" w:hAnsi="Calibri"/>
        </w:rPr>
        <w:t>Le traitement suit la chaîne Demande soumise → Consultation SaaS → Analyse → Approbation ou rejet. La fiche de demande expose les informations bancaires, le contact, le slug et la description de marketplace, les couleurs, les fichiers d’identité ainsi que les stores et modules demandés. L’administrateur peut donc comparer l’offre demandée avec le catalogue et vérifier sa cohérence avant décision.</w:t>
      </w:r>
    </w:p>
    <w:p>
      <w:r>
        <w:rPr>
          <w:rFonts w:ascii="Calibri" w:hAnsi="Calibri"/>
        </w:rPr>
        <w:t>Un rejet positionne la demande à rejected, conserve le motif de rejet, produit une entrée d’audit et crée une notification. Pour une demande join, le service e-mail envoie un message de rejet contenant le motif fourni. Une demande déjà approuvée ne peut ensuite plus être rejetée, et une demande rejetée ne peut plus être approuvée : les transitions sont contrôlées par RequestService.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4.8</w:t>
            </w:r>
          </w:p>
          <w:p>
            <w:pPr>
              <w:jc w:val="center"/>
            </w:pPr>
            <w:r>
              <w:rPr>
                <w:rFonts w:ascii="Calibri" w:hAnsi="Calibri"/>
                <w:b/>
                <w:color w:val="202124"/>
                <w:sz w:val="24"/>
              </w:rPr>
              <w:t>Liste SaaS des demandes de marketplace</w:t>
            </w:r>
          </w:p>
          <w:p>
            <w:pPr>
              <w:jc w:val="center"/>
            </w:pPr>
            <w:r>
              <w:rPr>
                <w:rFonts w:ascii="Calibri" w:hAnsi="Calibri"/>
                <w:i/>
                <w:color w:val="5B6573"/>
                <w:sz w:val="18"/>
              </w:rPr>
              <w:t>Insérer la liste des demandes avec les filtres ou statuts visibles, sans coordonnées de contact réelles.</w:t>
            </w:r>
          </w:p>
        </w:tc>
      </w:tr>
    </w:tbl>
    <w:p>
      <w:pPr>
        <w:spacing w:after="40"/>
      </w:pPr>
    </w:p>
    <w:p>
      <w:pPr>
        <w:pStyle w:val="Caption"/>
        <w:jc w:val="center"/>
      </w:pPr>
      <w:r>
        <w:rPr>
          <w:rFonts w:ascii="Calibri" w:hAnsi="Calibri"/>
          <w:i/>
          <w:color w:val="5B6573"/>
          <w:sz w:val="18"/>
        </w:rPr>
        <w:t>Capture 4.8 - Liste SaaS des demandes de marketplace.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4.9</w:t>
            </w:r>
          </w:p>
          <w:p>
            <w:pPr>
              <w:jc w:val="center"/>
            </w:pPr>
            <w:r>
              <w:rPr>
                <w:rFonts w:ascii="Calibri" w:hAnsi="Calibri"/>
                <w:b/>
                <w:color w:val="202124"/>
                <w:sz w:val="24"/>
              </w:rPr>
              <w:t>Détail SaaS d’une demande de marketplace</w:t>
            </w:r>
          </w:p>
          <w:p>
            <w:pPr>
              <w:jc w:val="center"/>
            </w:pPr>
            <w:r>
              <w:rPr>
                <w:rFonts w:ascii="Calibri" w:hAnsi="Calibri"/>
                <w:i/>
                <w:color w:val="5B6573"/>
                <w:sz w:val="18"/>
              </w:rPr>
              <w:t>Insérer la fiche détaillée : banque, marketplace, stores, modules et montant. Masquer les e-mails, numéros et pièces jointes sensibles.</w:t>
            </w:r>
          </w:p>
        </w:tc>
      </w:tr>
    </w:tbl>
    <w:p>
      <w:pPr>
        <w:spacing w:after="40"/>
      </w:pPr>
    </w:p>
    <w:p>
      <w:pPr>
        <w:pStyle w:val="Caption"/>
        <w:jc w:val="center"/>
      </w:pPr>
      <w:r>
        <w:rPr>
          <w:rFonts w:ascii="Calibri" w:hAnsi="Calibri"/>
          <w:i/>
          <w:color w:val="5B6573"/>
          <w:sz w:val="18"/>
        </w:rPr>
        <w:t>Capture 4.9 - Détail SaaS d’une demande de marketplace.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4.10</w:t>
            </w:r>
          </w:p>
          <w:p>
            <w:pPr>
              <w:jc w:val="center"/>
            </w:pPr>
            <w:r>
              <w:rPr>
                <w:rFonts w:ascii="Calibri" w:hAnsi="Calibri"/>
                <w:b/>
                <w:color w:val="202124"/>
                <w:sz w:val="24"/>
              </w:rPr>
              <w:t>Décision d’approbation ou de rejet</w:t>
            </w:r>
          </w:p>
          <w:p>
            <w:pPr>
              <w:jc w:val="center"/>
            </w:pPr>
            <w:r>
              <w:rPr>
                <w:rFonts w:ascii="Calibri" w:hAnsi="Calibri"/>
                <w:i/>
                <w:color w:val="5B6573"/>
                <w:sz w:val="18"/>
              </w:rPr>
              <w:t>Insérer la fenêtre ou l’action de décision, incluant le champ du motif de rejet lorsqu’il est affiché.</w:t>
            </w:r>
          </w:p>
        </w:tc>
      </w:tr>
    </w:tbl>
    <w:p>
      <w:pPr>
        <w:spacing w:after="40"/>
      </w:pPr>
    </w:p>
    <w:p>
      <w:pPr>
        <w:pStyle w:val="Caption"/>
        <w:jc w:val="center"/>
      </w:pPr>
      <w:r>
        <w:rPr>
          <w:rFonts w:ascii="Calibri" w:hAnsi="Calibri"/>
          <w:i/>
          <w:color w:val="5B6573"/>
          <w:sz w:val="18"/>
        </w:rPr>
        <w:t>Capture 4.10 - Décision d’approbation ou de rejet.</w:t>
      </w:r>
    </w:p>
    <w:p>
      <w:pPr>
        <w:pStyle w:val="Heading3"/>
      </w:pPr>
      <w:r>
        <w:rPr>
          <w:rFonts w:ascii="Calibri" w:hAnsi="Calibri"/>
        </w:rPr>
        <w:t>4.3.2 Approbation, paiement et activation conditionnelle</w:t>
      </w:r>
    </w:p>
    <w:p>
      <w:r>
        <w:rPr>
          <w:rFonts w:ascii="Calibri" w:hAnsi="Calibri"/>
        </w:rPr>
        <w:t>L’approbation d’une demande join ne rend pas immédiatement le tenant exploitable. Elle provisionne la banque, la marketplace, le futur administrateur ainsi que les associations MarketplaceStore et MarketplaceStoreModule, mais ces objets restent inactifs tant que le paiement n’est pas confirmé. La demande passe à approved, une notification d’approbation est créée et un e-mail d’instructions de paiement contenant le lien de règlement est envoyé au contact.</w:t>
      </w:r>
    </w:p>
    <w:p>
      <w:pPr>
        <w:spacing w:before="120" w:after="60"/>
        <w:jc w:val="center"/>
      </w:pPr>
      <w:r>
        <w:drawing>
          <wp:inline xmlns:a="http://schemas.openxmlformats.org/drawingml/2006/main" xmlns:pic="http://schemas.openxmlformats.org/drawingml/2006/picture">
            <wp:extent cx="5715000" cy="3048000"/>
            <wp:docPr id="12" name="Picture 12" descr="Figure 4.3 — Diagramme de séquence : approbation SaaS, paiement et activation contrôlée." title="Figure 4.3 — Diagramme de séquence : approbation SaaS, paiement et activation contrôlée."/>
            <wp:cNvGraphicFramePr>
              <a:graphicFrameLocks noChangeAspect="1"/>
            </wp:cNvGraphicFramePr>
            <a:graphic>
              <a:graphicData uri="http://schemas.openxmlformats.org/drawingml/2006/picture">
                <pic:pic>
                  <pic:nvPicPr>
                    <pic:cNvPr id="0" name="fig_4_2_approbation_activation.png"/>
                    <pic:cNvPicPr/>
                  </pic:nvPicPr>
                  <pic:blipFill>
                    <a:blip r:embed="rId22"/>
                    <a:stretch>
                      <a:fillRect/>
                    </a:stretch>
                  </pic:blipFill>
                  <pic:spPr>
                    <a:xfrm>
                      <a:off x="0" y="0"/>
                      <a:ext cx="5715000" cy="3048000"/>
                    </a:xfrm>
                    <a:prstGeom prst="rect"/>
                  </pic:spPr>
                </pic:pic>
              </a:graphicData>
            </a:graphic>
          </wp:inline>
        </w:drawing>
      </w:r>
    </w:p>
    <w:p>
      <w:pPr>
        <w:pStyle w:val="Caption"/>
        <w:jc w:val="center"/>
      </w:pPr>
      <w:r>
        <w:rPr>
          <w:rFonts w:ascii="Calibri" w:hAnsi="Calibri"/>
          <w:i/>
          <w:color w:val="5B6573"/>
          <w:sz w:val="18"/>
        </w:rPr>
        <w:t>Figure 4.3 — Diagramme de séquence : approbation SaaS, paiement et activation contrôlée.</w:t>
      </w:r>
    </w:p>
    <w:p>
      <w:r>
        <w:rPr>
          <w:rFonts w:ascii="Calibri" w:hAnsi="Calibri"/>
        </w:rPr>
        <w:t>La figure 4.3 met en évidence la règle de sécurité métier : l’activation n’est pas une conséquence de l’approbation seule. Elle intervient seulement lorsque PaymentService obtient un état paid. À ce moment, la banque, la marketplace et le compte ADMIN_BANK sont activés ; l’abonnement passe à ACTIVE ; les notifications de paiement sont créées et BankAdminCredentialsService génère un mot de passe temporaire avant l’envoi de l’e-mail d’identifiants du back-office bancaire.</w:t>
      </w:r>
    </w:p>
    <w:p>
      <w:pPr>
        <w:pStyle w:val="Heading3"/>
      </w:pPr>
      <w:r>
        <w:rPr>
          <w:rFonts w:ascii="Calibri" w:hAnsi="Calibri"/>
        </w:rPr>
        <w:t>4.3.3 Paiement Stripe et suivi de l’abonnement</w:t>
      </w:r>
    </w:p>
    <w:p>
      <w:r>
        <w:rPr>
          <w:rFonts w:ascii="Calibri" w:hAnsi="Calibri"/>
        </w:rPr>
        <w:t>Le contrôleur de paiement expose les deux mécanismes utilisés par Matchia : Payment Intent et Checkout Session Stripe. Une opération de paiement est créée avec le statut pending, le montant, la devise, la référence de demande et l’abonnement correspondant. Le lien de Checkout est conservé lorsqu’il est généré. La confirmation relit l’état du prestataire et vérifie, pour une session réglée, le montant et la devise attendus avant de poursuivre le workflow d’activation.</w:t>
      </w:r>
    </w:p>
    <w:p>
      <w:r>
        <w:rPr>
          <w:rFonts w:ascii="Calibri" w:hAnsi="Calibri"/>
        </w:rPr>
        <w:t>Les états de paiement implémentés sont pending, paid, cancelled et failed. Dans le flux Payment Intent, « succeeded » est mappé vers paid, « canceled » vers cancelled et « requires_payment_method » vers failed ; les autres cas restent pending. Cette modélisation permet au SaaS de distinguer une attente, une annulation et un échec au lieu de traiter tout retour non réussi comme une activation.</w:t>
      </w:r>
    </w:p>
    <w:p>
      <w:r>
        <w:rPr>
          <w:rFonts w:ascii="Calibri" w:hAnsi="Calibri"/>
        </w:rPr>
        <w:t>L’abonnement créé pour une demande est d’abord PENDING_PAYMENT. Après paiement confirmé, il devient ACTIVE et sa période annuelle est calculée. Le service planifié de synchronisation gère les échéances, marque les abonnements expirés et produit les alertes des sept jours précédant l’expiration ; un e-mail de rappel est prévu par EmailService. Les abonnements et paiements constituent donc une piste d’historique commerciale et non une simple variable de visibilité.</w:t>
      </w:r>
    </w:p>
    <w:p>
      <w:pPr>
        <w:spacing w:before="120" w:after="60"/>
        <w:jc w:val="center"/>
      </w:pPr>
      <w:r>
        <w:drawing>
          <wp:inline xmlns:a="http://schemas.openxmlformats.org/drawingml/2006/main" xmlns:pic="http://schemas.openxmlformats.org/drawingml/2006/picture">
            <wp:extent cx="5715000" cy="2159000"/>
            <wp:docPr id="13" name="Picture 13" descr="Figure 4.4 — États de l’abonnement et contrôle des accès tenant." title="Figure 4.4 — États de l’abonnement et contrôle des accès tenant."/>
            <wp:cNvGraphicFramePr>
              <a:graphicFrameLocks noChangeAspect="1"/>
            </wp:cNvGraphicFramePr>
            <a:graphic>
              <a:graphicData uri="http://schemas.openxmlformats.org/drawingml/2006/picture">
                <pic:pic>
                  <pic:nvPicPr>
                    <pic:cNvPr id="0" name="fig_4_3_etats_abonnement.png"/>
                    <pic:cNvPicPr/>
                  </pic:nvPicPr>
                  <pic:blipFill>
                    <a:blip r:embed="rId23"/>
                    <a:stretch>
                      <a:fillRect/>
                    </a:stretch>
                  </pic:blipFill>
                  <pic:spPr>
                    <a:xfrm>
                      <a:off x="0" y="0"/>
                      <a:ext cx="5715000" cy="2159000"/>
                    </a:xfrm>
                    <a:prstGeom prst="rect"/>
                  </pic:spPr>
                </pic:pic>
              </a:graphicData>
            </a:graphic>
          </wp:inline>
        </w:drawing>
      </w:r>
    </w:p>
    <w:p>
      <w:pPr>
        <w:pStyle w:val="Caption"/>
        <w:jc w:val="center"/>
      </w:pPr>
      <w:r>
        <w:rPr>
          <w:rFonts w:ascii="Calibri" w:hAnsi="Calibri"/>
          <w:i/>
          <w:color w:val="5B6573"/>
          <w:sz w:val="18"/>
        </w:rPr>
        <w:t>Figure 4.4 — États de l’abonnement et contrôle des accès tenant.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4.11</w:t>
            </w:r>
          </w:p>
          <w:p>
            <w:pPr>
              <w:jc w:val="center"/>
            </w:pPr>
            <w:r>
              <w:rPr>
                <w:rFonts w:ascii="Calibri" w:hAnsi="Calibri"/>
                <w:b/>
                <w:color w:val="202124"/>
                <w:sz w:val="24"/>
              </w:rPr>
              <w:t>Notification et e-mail d’instructions de paiement</w:t>
            </w:r>
          </w:p>
          <w:p>
            <w:pPr>
              <w:jc w:val="center"/>
            </w:pPr>
            <w:r>
              <w:rPr>
                <w:rFonts w:ascii="Calibri" w:hAnsi="Calibri"/>
                <w:i/>
                <w:color w:val="5B6573"/>
                <w:sz w:val="18"/>
              </w:rPr>
              <w:t>Insérer la notification SaaS ou banque et l’e-mail de paiement après anonymisation des destinataires, liens, identifiants et montants de test.</w:t>
            </w:r>
          </w:p>
        </w:tc>
      </w:tr>
    </w:tbl>
    <w:p>
      <w:pPr>
        <w:spacing w:after="40"/>
      </w:pPr>
    </w:p>
    <w:p>
      <w:pPr>
        <w:pStyle w:val="Caption"/>
        <w:jc w:val="center"/>
      </w:pPr>
      <w:r>
        <w:rPr>
          <w:rFonts w:ascii="Calibri" w:hAnsi="Calibri"/>
          <w:i/>
          <w:color w:val="5B6573"/>
          <w:sz w:val="18"/>
        </w:rPr>
        <w:t>Capture 4.11 - Notification et e-mail d’instructions de paiement.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4.12</w:t>
            </w:r>
          </w:p>
          <w:p>
            <w:pPr>
              <w:jc w:val="center"/>
            </w:pPr>
            <w:r>
              <w:rPr>
                <w:rFonts w:ascii="Calibri" w:hAnsi="Calibri"/>
                <w:b/>
                <w:color w:val="202124"/>
                <w:sz w:val="24"/>
              </w:rPr>
              <w:t>Paiement et confirmation de retour</w:t>
            </w:r>
          </w:p>
          <w:p>
            <w:pPr>
              <w:jc w:val="center"/>
            </w:pPr>
            <w:r>
              <w:rPr>
                <w:rFonts w:ascii="Calibri" w:hAnsi="Calibri"/>
                <w:i/>
                <w:color w:val="5B6573"/>
                <w:sz w:val="18"/>
              </w:rPr>
              <w:t>Insérer l’écran de paiement ou la page de succès/annulation sans clé API, numéro de carte, identifiant Stripe ni secret.</w:t>
            </w:r>
          </w:p>
        </w:tc>
      </w:tr>
    </w:tbl>
    <w:p>
      <w:pPr>
        <w:spacing w:after="40"/>
      </w:pPr>
    </w:p>
    <w:p>
      <w:pPr>
        <w:pStyle w:val="Caption"/>
        <w:jc w:val="center"/>
      </w:pPr>
      <w:r>
        <w:rPr>
          <w:rFonts w:ascii="Calibri" w:hAnsi="Calibri"/>
          <w:i/>
          <w:color w:val="5B6573"/>
          <w:sz w:val="18"/>
        </w:rPr>
        <w:t>Capture 4.12 - Paiement et confirmation de retour.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4.13</w:t>
            </w:r>
          </w:p>
          <w:p>
            <w:pPr>
              <w:jc w:val="center"/>
            </w:pPr>
            <w:r>
              <w:rPr>
                <w:rFonts w:ascii="Calibri" w:hAnsi="Calibri"/>
                <w:b/>
                <w:color w:val="202124"/>
                <w:sz w:val="24"/>
              </w:rPr>
              <w:t>Marketplace, abonnement et compte bancaire activés</w:t>
            </w:r>
          </w:p>
          <w:p>
            <w:pPr>
              <w:jc w:val="center"/>
            </w:pPr>
            <w:r>
              <w:rPr>
                <w:rFonts w:ascii="Calibri" w:hAnsi="Calibri"/>
                <w:i/>
                <w:color w:val="5B6573"/>
                <w:sz w:val="18"/>
              </w:rPr>
              <w:t>Insérer une preuve visuelle post-paiement : statut actif de la banque ou marketplace, puis l’abonnement créé. L’e-mail d’identifiants doit être anonymisé.</w:t>
            </w:r>
          </w:p>
        </w:tc>
      </w:tr>
    </w:tbl>
    <w:p>
      <w:pPr>
        <w:spacing w:after="40"/>
      </w:pPr>
    </w:p>
    <w:p>
      <w:pPr>
        <w:pStyle w:val="Caption"/>
        <w:jc w:val="center"/>
      </w:pPr>
      <w:r>
        <w:rPr>
          <w:rFonts w:ascii="Calibri" w:hAnsi="Calibri"/>
          <w:i/>
          <w:color w:val="5B6573"/>
          <w:sz w:val="18"/>
        </w:rPr>
        <w:t>Capture 4.13 - Marketplace, abonnement et compte bancaire activés.</w:t>
      </w:r>
    </w:p>
    <w:p>
      <w:pPr>
        <w:pStyle w:val="Heading2"/>
      </w:pPr>
      <w:r>
        <w:rPr>
          <w:rFonts w:ascii="Calibri" w:hAnsi="Calibri"/>
        </w:rPr>
        <w:t>4.4 Back-office Banque : exploitation d’un tenant actif</w:t>
      </w:r>
    </w:p>
    <w:p>
      <w:r>
        <w:rPr>
          <w:rFonts w:ascii="Calibri" w:hAnsi="Calibri"/>
        </w:rPr>
        <w:t>Prérequis : marketplace active et abonnement valide. L’authentification tenant conserve le contexte de banque dans l’URL (slug ou paramètre tenant) et les routes protégées contrôlent le rôle ADMIN_BANK. Le tableau de bord bancaire donne une vue des utilisateurs, stores, modules, demandes et autres indicateurs propres à la marketplace courante. L’espace permet ensuite de gérer le profil, les utilisateurs, les produits, les contenus, le branding, les concessionnaires, les demandes de financement, les paramètres et les notifications.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4.14</w:t>
            </w:r>
          </w:p>
          <w:p>
            <w:pPr>
              <w:jc w:val="center"/>
            </w:pPr>
            <w:r>
              <w:rPr>
                <w:rFonts w:ascii="Calibri" w:hAnsi="Calibri"/>
                <w:b/>
                <w:color w:val="202124"/>
                <w:sz w:val="24"/>
              </w:rPr>
              <w:t>Tableau de bord du tenant bancaire</w:t>
            </w:r>
          </w:p>
          <w:p>
            <w:pPr>
              <w:jc w:val="center"/>
            </w:pPr>
            <w:r>
              <w:rPr>
                <w:rFonts w:ascii="Calibri" w:hAnsi="Calibri"/>
                <w:i/>
                <w:color w:val="5B6573"/>
                <w:sz w:val="18"/>
              </w:rPr>
              <w:t>Insérer le tableau de bord banque montrant utilisateurs, stores, modules et demandes, après masquage de l’adresse e-mail, de la photo et des autres données personnelles du compte de démonstration.</w:t>
            </w:r>
          </w:p>
        </w:tc>
      </w:tr>
    </w:tbl>
    <w:p>
      <w:pPr>
        <w:spacing w:after="40"/>
      </w:pPr>
    </w:p>
    <w:p>
      <w:pPr>
        <w:pStyle w:val="Caption"/>
        <w:jc w:val="center"/>
      </w:pPr>
      <w:r>
        <w:rPr>
          <w:rFonts w:ascii="Calibri" w:hAnsi="Calibri"/>
          <w:i/>
          <w:color w:val="5B6573"/>
          <w:sz w:val="18"/>
        </w:rPr>
        <w:t>Capture 4.14 - Tableau de bord du tenant bancaire.</w:t>
      </w:r>
    </w:p>
    <w:p>
      <w:pPr>
        <w:pStyle w:val="Heading3"/>
      </w:pPr>
      <w:r>
        <w:rPr>
          <w:rFonts w:ascii="Calibri" w:hAnsi="Calibri"/>
        </w:rPr>
        <w:t>4.4.1 Personnalisation de la marketplace</w:t>
      </w:r>
    </w:p>
    <w:p>
      <w:r>
        <w:rPr>
          <w:rFonts w:ascii="Calibri" w:hAnsi="Calibri"/>
        </w:rPr>
        <w:t>La page Branding permet à la banque de définir ses couleurs primaire et secondaire, son titre d’accueil, son texte de bienvenue, son pied de page, son logo et sa bannière. Les images sont téléversées via les services dédiés puis l’aperçu de la marketplace est rafraîchi. La page de contenu complète ce branding avec la création, la modification, la suppression et la visibilité de contenus au niveau global de marketplace ou au niveau d’un store.</w:t>
      </w:r>
    </w:p>
    <w:p>
      <w:r>
        <w:rPr>
          <w:rFonts w:ascii="Calibri" w:hAnsi="Calibri"/>
        </w:rPr>
        <w:t>La bannière n’est pas réduite à une image statique globale. Les services exposent aussi une gestion par store : ajout, remplacement et suppression de bannières. Lorsqu’il existe plusieurs bannières de store, la marketplace publique propose une rotation et des contrôles précédent/suivant. Cette personnalisation est isolée par tenant et ne modifie pas le catalogue partagé.</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4.15</w:t>
            </w:r>
          </w:p>
          <w:p>
            <w:pPr>
              <w:jc w:val="center"/>
            </w:pPr>
            <w:r>
              <w:rPr>
                <w:rFonts w:ascii="Calibri" w:hAnsi="Calibri"/>
                <w:b/>
                <w:color w:val="202124"/>
                <w:sz w:val="24"/>
              </w:rPr>
              <w:t>Personnalisation du branding bancaire</w:t>
            </w:r>
          </w:p>
          <w:p>
            <w:pPr>
              <w:jc w:val="center"/>
            </w:pPr>
            <w:r>
              <w:rPr>
                <w:rFonts w:ascii="Calibri" w:hAnsi="Calibri"/>
                <w:i/>
                <w:color w:val="5B6573"/>
                <w:sz w:val="18"/>
              </w:rPr>
              <w:t>Insérer la page Branding montrant la palette, les textes, le logo, la bannière et l’aperçu de la marketplace.</w:t>
            </w:r>
          </w:p>
        </w:tc>
      </w:tr>
    </w:tbl>
    <w:p>
      <w:pPr>
        <w:spacing w:after="40"/>
      </w:pPr>
    </w:p>
    <w:p>
      <w:pPr>
        <w:pStyle w:val="Caption"/>
        <w:jc w:val="center"/>
      </w:pPr>
      <w:r>
        <w:rPr>
          <w:rFonts w:ascii="Calibri" w:hAnsi="Calibri"/>
          <w:i/>
          <w:color w:val="5B6573"/>
          <w:sz w:val="18"/>
        </w:rPr>
        <w:t>Capture 4.15 - Personnalisation du branding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4.16</w:t>
            </w:r>
          </w:p>
          <w:p>
            <w:pPr>
              <w:jc w:val="center"/>
            </w:pPr>
            <w:r>
              <w:rPr>
                <w:rFonts w:ascii="Calibri" w:hAnsi="Calibri"/>
                <w:b/>
                <w:color w:val="202124"/>
                <w:sz w:val="24"/>
              </w:rPr>
              <w:t>Gestion de contenu et bannières par store</w:t>
            </w:r>
          </w:p>
          <w:p>
            <w:pPr>
              <w:jc w:val="center"/>
            </w:pPr>
            <w:r>
              <w:rPr>
                <w:rFonts w:ascii="Calibri" w:hAnsi="Calibri"/>
                <w:i/>
                <w:color w:val="5B6573"/>
                <w:sz w:val="18"/>
              </w:rPr>
              <w:t>Insérer l’écran de gestion des contenus ou le gestionnaire de bannières d’un store actif.</w:t>
            </w:r>
          </w:p>
        </w:tc>
      </w:tr>
    </w:tbl>
    <w:p>
      <w:pPr>
        <w:spacing w:after="40"/>
      </w:pPr>
    </w:p>
    <w:p>
      <w:pPr>
        <w:pStyle w:val="Caption"/>
        <w:jc w:val="center"/>
      </w:pPr>
      <w:r>
        <w:rPr>
          <w:rFonts w:ascii="Calibri" w:hAnsi="Calibri"/>
          <w:i/>
          <w:color w:val="5B6573"/>
          <w:sz w:val="18"/>
        </w:rPr>
        <w:t>Capture 4.16 - Gestion de contenu et bannières par store.</w:t>
      </w:r>
    </w:p>
    <w:p>
      <w:pPr>
        <w:pStyle w:val="Heading3"/>
      </w:pPr>
      <w:r>
        <w:rPr>
          <w:rFonts w:ascii="Calibri" w:hAnsi="Calibri"/>
        </w:rPr>
        <w:t>4.4.2 Stores, modules et paramètres configurables</w:t>
      </w:r>
    </w:p>
    <w:p>
      <w:r>
        <w:rPr>
          <w:rFonts w:ascii="Calibri" w:hAnsi="Calibri"/>
        </w:rPr>
        <w:t>L’espace « Stores assignés » affiche uniquement les stores de la marketplace courante. La banque peut les consulter, les activer ou les désactiver et demander de nouveaux stores depuis le catalogue. Dans l’écran « Modules assignés », chaque store ne révèle que ses propres associations ; un module peut être activé ou désactivé et ses paramètres peuvent être enregistrés dans le contexte du tenant. Un store inactif place ses modules en lecture seule jusqu’à sa réactivation.</w:t>
      </w:r>
    </w:p>
    <w:p>
      <w:r>
        <w:rPr>
          <w:rFonts w:ascii="Calibri" w:hAnsi="Calibri"/>
        </w:rPr>
        <w:t>Les paramètres sont génériques et typés (texte, nombre ou date), ce qui permet de définir, par exemple, les valeurs de simulation sans créer une table technique par produit. Les composants publics utilisent ensuite ces paramètres pour adapter le simulateur. Les modules comparateur, simulateur, bannière et chatbot sont traités selon leur association effective au store ; seul un module navigable expose une page dans le menu, tandis que bannière et chatbot enrichissent l’interface sans ajouter une route indépendante.</w:t>
      </w:r>
    </w:p>
    <w:p>
      <w:pPr>
        <w:spacing w:before="120" w:after="60"/>
        <w:jc w:val="center"/>
      </w:pPr>
      <w:r>
        <w:drawing>
          <wp:inline xmlns:a="http://schemas.openxmlformats.org/drawingml/2006/main" xmlns:pic="http://schemas.openxmlformats.org/drawingml/2006/picture">
            <wp:extent cx="5715000" cy="2159000"/>
            <wp:docPr id="14" name="Picture 14" descr="Figure 4.5 — Configuration tenant d’un store : catalogue commun, modules et visibilité publique." title="Figure 4.5 — Configuration tenant d’un store : catalogue commun, modules et visibilité publique."/>
            <wp:cNvGraphicFramePr>
              <a:graphicFrameLocks noChangeAspect="1"/>
            </wp:cNvGraphicFramePr>
            <a:graphic>
              <a:graphicData uri="http://schemas.openxmlformats.org/drawingml/2006/picture">
                <pic:pic>
                  <pic:nvPicPr>
                    <pic:cNvPr id="0" name="fig_4_2_configuration_store.png"/>
                    <pic:cNvPicPr/>
                  </pic:nvPicPr>
                  <pic:blipFill>
                    <a:blip r:embed="rId24"/>
                    <a:stretch>
                      <a:fillRect/>
                    </a:stretch>
                  </pic:blipFill>
                  <pic:spPr>
                    <a:xfrm>
                      <a:off x="0" y="0"/>
                      <a:ext cx="5715000" cy="2159000"/>
                    </a:xfrm>
                    <a:prstGeom prst="rect"/>
                  </pic:spPr>
                </pic:pic>
              </a:graphicData>
            </a:graphic>
          </wp:inline>
        </w:drawing>
      </w:r>
    </w:p>
    <w:p>
      <w:pPr>
        <w:pStyle w:val="Caption"/>
        <w:jc w:val="center"/>
      </w:pPr>
      <w:r>
        <w:rPr>
          <w:rFonts w:ascii="Calibri" w:hAnsi="Calibri"/>
          <w:i/>
          <w:color w:val="5B6573"/>
          <w:sz w:val="18"/>
        </w:rPr>
        <w:t>Figure 4.5 — Configuration tenant d’un store : catalogue commun, modules et visibilité publique.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4.17</w:t>
            </w:r>
          </w:p>
          <w:p>
            <w:pPr>
              <w:jc w:val="center"/>
            </w:pPr>
            <w:r>
              <w:rPr>
                <w:rFonts w:ascii="Calibri" w:hAnsi="Calibri"/>
                <w:b/>
                <w:color w:val="202124"/>
                <w:sz w:val="24"/>
              </w:rPr>
              <w:t>Stores associés à la marketplace bancaire</w:t>
            </w:r>
          </w:p>
          <w:p>
            <w:pPr>
              <w:jc w:val="center"/>
            </w:pPr>
            <w:r>
              <w:rPr>
                <w:rFonts w:ascii="Calibri" w:hAnsi="Calibri"/>
                <w:i/>
                <w:color w:val="5B6573"/>
                <w:sz w:val="18"/>
              </w:rPr>
              <w:t>Insérer la page « Stores assignés » avec le statut de chaque store et l’action de demande de nouveau store.</w:t>
            </w:r>
          </w:p>
        </w:tc>
      </w:tr>
    </w:tbl>
    <w:p>
      <w:pPr>
        <w:spacing w:after="40"/>
      </w:pPr>
    </w:p>
    <w:p>
      <w:pPr>
        <w:pStyle w:val="Caption"/>
        <w:jc w:val="center"/>
      </w:pPr>
      <w:r>
        <w:rPr>
          <w:rFonts w:ascii="Calibri" w:hAnsi="Calibri"/>
          <w:i/>
          <w:color w:val="5B6573"/>
          <w:sz w:val="18"/>
        </w:rPr>
        <w:t>Capture 4.17 - Stores associés à la marketplace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4.18</w:t>
            </w:r>
          </w:p>
          <w:p>
            <w:pPr>
              <w:jc w:val="center"/>
            </w:pPr>
            <w:r>
              <w:rPr>
                <w:rFonts w:ascii="Calibri" w:hAnsi="Calibri"/>
                <w:b/>
                <w:color w:val="202124"/>
                <w:sz w:val="24"/>
              </w:rPr>
              <w:t>Modules et paramètres du store sélectionné</w:t>
            </w:r>
          </w:p>
          <w:p>
            <w:pPr>
              <w:jc w:val="center"/>
            </w:pPr>
            <w:r>
              <w:rPr>
                <w:rFonts w:ascii="Calibri" w:hAnsi="Calibri"/>
                <w:i/>
                <w:color w:val="5B6573"/>
                <w:sz w:val="18"/>
              </w:rPr>
              <w:t>Insérer la page « Modules assignés » montrant l’activation, les paramètres et le gestionnaire de bannière lorsqu’il est présent.</w:t>
            </w:r>
          </w:p>
        </w:tc>
      </w:tr>
    </w:tbl>
    <w:p>
      <w:pPr>
        <w:spacing w:after="40"/>
      </w:pPr>
    </w:p>
    <w:p>
      <w:pPr>
        <w:pStyle w:val="Caption"/>
        <w:jc w:val="center"/>
      </w:pPr>
      <w:r>
        <w:rPr>
          <w:rFonts w:ascii="Calibri" w:hAnsi="Calibri"/>
          <w:i/>
          <w:color w:val="5B6573"/>
          <w:sz w:val="18"/>
        </w:rPr>
        <w:t>Capture 4.18 - Modules et paramètres du store sélectionné.</w:t>
      </w:r>
    </w:p>
    <w:p>
      <w:pPr>
        <w:pStyle w:val="Heading3"/>
      </w:pPr>
      <w:r>
        <w:rPr>
          <w:rFonts w:ascii="Calibri" w:hAnsi="Calibri"/>
        </w:rPr>
        <w:t>4.4.3 Renouvellement et ajout de services</w:t>
      </w:r>
    </w:p>
    <w:p>
      <w:r>
        <w:rPr>
          <w:rFonts w:ascii="Calibri" w:hAnsi="Calibri"/>
        </w:rPr>
        <w:t>Le renouvellement est disponible depuis la page Abonnement. La banque consulte l’historique des abonnements, les paiements, les services inclus, la date d’expiration et le nombre de jours restants, puis transmet une demande de renouvellement annuel au SaaS. Cette demande est de type renewal ; après son approbation, une opération de paiement est créée et les instructions de règlement sont envoyées. Le paiement validé prolonge l’abonnement actif.</w:t>
      </w:r>
    </w:p>
    <w:p>
      <w:r>
        <w:rPr>
          <w:rFonts w:ascii="Calibri" w:hAnsi="Calibri"/>
        </w:rPr>
        <w:t>L’ajout de stores ou de modules est traité comme une demande distincte de type store ou module, et non comme une modification directe de l’abonnement existant. Les choix sont envoyés au SaaS avec le détail par store, passent par l’approbation et le paiement, puis les nouveaux services sont activés. Cette distinction est importante : le projet implémente explicitement un workflow de renouvellement et des workflows séparés d’extension de catalogue, plutôt qu’un unique bouton générique « upgrade ».</w:t>
      </w:r>
    </w:p>
    <w:p>
      <w:pPr>
        <w:spacing w:before="120" w:after="60"/>
        <w:jc w:val="center"/>
      </w:pPr>
      <w:r>
        <w:drawing>
          <wp:inline xmlns:a="http://schemas.openxmlformats.org/drawingml/2006/main" xmlns:pic="http://schemas.openxmlformats.org/drawingml/2006/picture">
            <wp:extent cx="5715000" cy="2286000"/>
            <wp:docPr id="15" name="Picture 15" descr="Figure 4.6 — Workflow réel de renouvellement et d’ajout de stores/modules." title="Figure 4.6 — Workflow réel de renouvellement et d’ajout de stores/modules."/>
            <wp:cNvGraphicFramePr>
              <a:graphicFrameLocks noChangeAspect="1"/>
            </wp:cNvGraphicFramePr>
            <a:graphic>
              <a:graphicData uri="http://schemas.openxmlformats.org/drawingml/2006/picture">
                <pic:pic>
                  <pic:nvPicPr>
                    <pic:cNvPr id="0" name="fig_4_3_renouvellement_ajout_services.png"/>
                    <pic:cNvPicPr/>
                  </pic:nvPicPr>
                  <pic:blipFill>
                    <a:blip r:embed="rId25"/>
                    <a:stretch>
                      <a:fillRect/>
                    </a:stretch>
                  </pic:blipFill>
                  <pic:spPr>
                    <a:xfrm>
                      <a:off x="0" y="0"/>
                      <a:ext cx="5715000" cy="2286000"/>
                    </a:xfrm>
                    <a:prstGeom prst="rect"/>
                  </pic:spPr>
                </pic:pic>
              </a:graphicData>
            </a:graphic>
          </wp:inline>
        </w:drawing>
      </w:r>
    </w:p>
    <w:p>
      <w:pPr>
        <w:pStyle w:val="Caption"/>
        <w:jc w:val="center"/>
      </w:pPr>
      <w:r>
        <w:rPr>
          <w:rFonts w:ascii="Calibri" w:hAnsi="Calibri"/>
          <w:i/>
          <w:color w:val="5B6573"/>
          <w:sz w:val="18"/>
        </w:rPr>
        <w:t>Figure 4.6 — Workflow réel de renouvellement et d’ajout de stores/modules.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4.19</w:t>
            </w:r>
          </w:p>
          <w:p>
            <w:pPr>
              <w:jc w:val="center"/>
            </w:pPr>
            <w:r>
              <w:rPr>
                <w:rFonts w:ascii="Calibri" w:hAnsi="Calibri"/>
                <w:b/>
                <w:color w:val="202124"/>
                <w:sz w:val="24"/>
              </w:rPr>
              <w:t>Abonnement bancaire et historique des services</w:t>
            </w:r>
          </w:p>
          <w:p>
            <w:pPr>
              <w:jc w:val="center"/>
            </w:pPr>
            <w:r>
              <w:rPr>
                <w:rFonts w:ascii="Calibri" w:hAnsi="Calibri"/>
                <w:i/>
                <w:color w:val="5B6573"/>
                <w:sz w:val="18"/>
              </w:rPr>
              <w:t>Insérer la page Abonnement : statut, dernier paiement, expiration, historique et stores/modules inclus.</w:t>
            </w:r>
          </w:p>
        </w:tc>
      </w:tr>
    </w:tbl>
    <w:p>
      <w:pPr>
        <w:spacing w:after="40"/>
      </w:pPr>
    </w:p>
    <w:p>
      <w:pPr>
        <w:pStyle w:val="Caption"/>
        <w:jc w:val="center"/>
      </w:pPr>
      <w:r>
        <w:rPr>
          <w:rFonts w:ascii="Calibri" w:hAnsi="Calibri"/>
          <w:i/>
          <w:color w:val="5B6573"/>
          <w:sz w:val="18"/>
        </w:rPr>
        <w:t>Capture 4.19 - Abonnement bancaire et historique des services.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4.20</w:t>
            </w:r>
          </w:p>
          <w:p>
            <w:pPr>
              <w:jc w:val="center"/>
            </w:pPr>
            <w:r>
              <w:rPr>
                <w:rFonts w:ascii="Calibri" w:hAnsi="Calibri"/>
                <w:b/>
                <w:color w:val="202124"/>
                <w:sz w:val="24"/>
              </w:rPr>
              <w:t>Demande de renouvellement ou d’extension</w:t>
            </w:r>
          </w:p>
          <w:p>
            <w:pPr>
              <w:jc w:val="center"/>
            </w:pPr>
            <w:r>
              <w:rPr>
                <w:rFonts w:ascii="Calibri" w:hAnsi="Calibri"/>
                <w:i/>
                <w:color w:val="5B6573"/>
                <w:sz w:val="18"/>
              </w:rPr>
              <w:t>Insérer la fenêtre de renouvellement, ou le formulaire de demande de stores/modules, puis le statut de la demande créée.</w:t>
            </w:r>
          </w:p>
        </w:tc>
      </w:tr>
    </w:tbl>
    <w:p>
      <w:pPr>
        <w:spacing w:after="40"/>
      </w:pPr>
    </w:p>
    <w:p>
      <w:pPr>
        <w:pStyle w:val="Caption"/>
        <w:jc w:val="center"/>
      </w:pPr>
      <w:r>
        <w:rPr>
          <w:rFonts w:ascii="Calibri" w:hAnsi="Calibri"/>
          <w:i/>
          <w:color w:val="5B6573"/>
          <w:sz w:val="18"/>
        </w:rPr>
        <w:t>Capture 4.20 - Demande de renouvellement ou d’extension.</w:t>
      </w:r>
    </w:p>
    <w:p>
      <w:pPr>
        <w:pStyle w:val="Heading2"/>
      </w:pPr>
      <w:r>
        <w:rPr>
          <w:rFonts w:ascii="Calibri" w:hAnsi="Calibri"/>
        </w:rPr>
        <w:t>4.5 Marketplace publique et fonctionnalités de découverte</w:t>
      </w:r>
    </w:p>
    <w:p>
      <w:r>
        <w:rPr>
          <w:rFonts w:ascii="Calibri" w:hAnsi="Calibri"/>
        </w:rPr>
        <w:t>La marketplace publique reprend le branding de la banque active et les stores visibles. La page d’accueil affiche la bannière, le texte de bienvenue et les offres/store cards. Le visiteur peut ensuite accéder à une page de store, où les produits bancaires et les produits de concessionnaires publiés sont agrégés, avec la contextualisation du store sélectionné. Les routes publiques couvrent également la connexion, l’inscription client, la récupération de mot de passe, la simulation, le comparateur et le blog lorsque le module correspondant est activé.</w:t>
      </w:r>
    </w:p>
    <w:p>
      <w:pPr>
        <w:spacing w:before="120" w:after="60"/>
        <w:jc w:val="center"/>
      </w:pPr>
      <w:r>
        <w:drawing>
          <wp:inline xmlns:a="http://schemas.openxmlformats.org/drawingml/2006/main" xmlns:pic="http://schemas.openxmlformats.org/drawingml/2006/picture">
            <wp:extent cx="5715000" cy="3323724"/>
            <wp:docPr id="16" name="Picture 16" descr="Figure 4.7 — Page d’accueil d’une marketplace publique tenant : bannière, stores et navigation contextualisée." title="Figure 4.7 — Page d’accueil d’une marketplace publique tenant : bannière, stores et navigation contextualisée."/>
            <wp:cNvGraphicFramePr>
              <a:graphicFrameLocks noChangeAspect="1"/>
            </wp:cNvGraphicFramePr>
            <a:graphic>
              <a:graphicData uri="http://schemas.openxmlformats.org/drawingml/2006/picture">
                <pic:pic>
                  <pic:nvPicPr>
                    <pic:cNvPr id="0" name="tenantDéploy.png"/>
                    <pic:cNvPicPr/>
                  </pic:nvPicPr>
                  <pic:blipFill>
                    <a:blip r:embed="rId26"/>
                    <a:stretch>
                      <a:fillRect/>
                    </a:stretch>
                  </pic:blipFill>
                  <pic:spPr>
                    <a:xfrm>
                      <a:off x="0" y="0"/>
                      <a:ext cx="5715000" cy="3323724"/>
                    </a:xfrm>
                    <a:prstGeom prst="rect"/>
                  </pic:spPr>
                </pic:pic>
              </a:graphicData>
            </a:graphic>
          </wp:inline>
        </w:drawing>
      </w:r>
    </w:p>
    <w:p>
      <w:pPr>
        <w:pStyle w:val="Caption"/>
        <w:jc w:val="center"/>
      </w:pPr>
      <w:r>
        <w:rPr>
          <w:rFonts w:ascii="Calibri" w:hAnsi="Calibri"/>
          <w:i/>
          <w:color w:val="5B6573"/>
          <w:sz w:val="18"/>
        </w:rPr>
        <w:t>Figure 4.7 — Page d’accueil d’une marketplace publique tenant : bannière, stores et navigation contextualisée.</w:t>
      </w:r>
    </w:p>
    <w:p>
      <w:r>
        <w:rPr>
          <w:rFonts w:ascii="Calibri" w:hAnsi="Calibri"/>
        </w:rPr>
        <w:t>La figure 4.8 montre l’application du branding au tenant et la présentation des stores disponibles. La page de store poursuit cette contextualisation : elle affiche les contenus, les bannières, les produits, les indications de disponibilité et les appels vers les modules actifs. Le comparateur peut confronter jusqu’à quatre produits ; le simulateur calcule une estimation et permet d’initier ensuite une demande de financement. Ces outils ne constituent pas une acceptation de crédit automatique.</w:t>
      </w:r>
    </w:p>
    <w:p>
      <w:pPr>
        <w:spacing w:before="120" w:after="60"/>
        <w:jc w:val="center"/>
      </w:pPr>
      <w:r>
        <w:drawing>
          <wp:inline xmlns:a="http://schemas.openxmlformats.org/drawingml/2006/main" xmlns:pic="http://schemas.openxmlformats.org/drawingml/2006/picture">
            <wp:extent cx="5715000" cy="3306944"/>
            <wp:docPr id="17" name="Picture 17" descr="Figure 4.8 — Page publique d’un store véhicule avec contenu et modules associés." title="Figure 4.8 — Page publique d’un store véhicule avec contenu et modules associés."/>
            <wp:cNvGraphicFramePr>
              <a:graphicFrameLocks noChangeAspect="1"/>
            </wp:cNvGraphicFramePr>
            <a:graphic>
              <a:graphicData uri="http://schemas.openxmlformats.org/drawingml/2006/picture">
                <pic:pic>
                  <pic:nvPicPr>
                    <pic:cNvPr id="0" name="TenantMarketplace.png"/>
                    <pic:cNvPicPr/>
                  </pic:nvPicPr>
                  <pic:blipFill>
                    <a:blip r:embed="rId11"/>
                    <a:stretch>
                      <a:fillRect/>
                    </a:stretch>
                  </pic:blipFill>
                  <pic:spPr>
                    <a:xfrm>
                      <a:off x="0" y="0"/>
                      <a:ext cx="5715000" cy="3306944"/>
                    </a:xfrm>
                    <a:prstGeom prst="rect"/>
                  </pic:spPr>
                </pic:pic>
              </a:graphicData>
            </a:graphic>
          </wp:inline>
        </w:drawing>
      </w:r>
    </w:p>
    <w:p>
      <w:pPr>
        <w:pStyle w:val="Caption"/>
        <w:jc w:val="center"/>
      </w:pPr>
      <w:r>
        <w:rPr>
          <w:rFonts w:ascii="Calibri" w:hAnsi="Calibri"/>
          <w:i/>
          <w:color w:val="5B6573"/>
          <w:sz w:val="18"/>
        </w:rPr>
        <w:t>Figure 4.8 — Page publique d’un store véhicule avec contenu et modules associés.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4.21</w:t>
            </w:r>
          </w:p>
          <w:p>
            <w:pPr>
              <w:jc w:val="center"/>
            </w:pPr>
            <w:r>
              <w:rPr>
                <w:rFonts w:ascii="Calibri" w:hAnsi="Calibri"/>
                <w:b/>
                <w:color w:val="202124"/>
                <w:sz w:val="24"/>
              </w:rPr>
              <w:t>Comparateur, simulateur et chatbot de la marketplace</w:t>
            </w:r>
          </w:p>
          <w:p>
            <w:pPr>
              <w:jc w:val="center"/>
            </w:pPr>
            <w:r>
              <w:rPr>
                <w:rFonts w:ascii="Calibri" w:hAnsi="Calibri"/>
                <w:i/>
                <w:color w:val="5B6573"/>
                <w:sz w:val="18"/>
              </w:rPr>
              <w:t>Insérer une capture d’un module public réellement activé pour le store concerné. Ne retenir le chatbot que s’il est visible dans la configuration de démonstration.</w:t>
            </w:r>
          </w:p>
        </w:tc>
      </w:tr>
    </w:tbl>
    <w:p>
      <w:pPr>
        <w:spacing w:after="40"/>
      </w:pPr>
    </w:p>
    <w:p>
      <w:pPr>
        <w:pStyle w:val="Caption"/>
        <w:jc w:val="center"/>
      </w:pPr>
      <w:r>
        <w:rPr>
          <w:rFonts w:ascii="Calibri" w:hAnsi="Calibri"/>
          <w:i/>
          <w:color w:val="5B6573"/>
          <w:sz w:val="18"/>
        </w:rPr>
        <w:t>Capture 4.21 - Comparateur, simulateur et chatbot de la marketplace.</w:t>
      </w:r>
    </w:p>
    <w:p>
      <w:pPr>
        <w:pStyle w:val="Heading2"/>
      </w:pPr>
      <w:r>
        <w:rPr>
          <w:rFonts w:ascii="Calibri" w:hAnsi="Calibri"/>
        </w:rPr>
        <w:t>4.6 Espaces concessionnaire, client, financement et assistant</w:t>
      </w:r>
    </w:p>
    <w:p>
      <w:r>
        <w:rPr>
          <w:rFonts w:ascii="Calibri" w:hAnsi="Calibri"/>
        </w:rPr>
        <w:t>Les fonctionnalités multi-acteurs complètent le cycle de la marketplace. Le concessionnaire dispose d’un compte unique avec un espace pour ses partenariats, contrats, produits, publications et demandes de financement. Il peut solliciter plusieurs banques ; la banque conserve la décision sur le partenariat, le contrat et la publication. Les produits publiés sur un tenant sont donc contrôlés par des préconditions de partenariat actif, contrat valide, store actif et décision bancaire.</w:t>
      </w:r>
    </w:p>
    <w:p>
      <w:r>
        <w:rPr>
          <w:rFonts w:ascii="Calibri" w:hAnsi="Calibri"/>
        </w:rPr>
        <w:t>Le client s’inscrit dans le contexte de la marketplace, consulte les produits, compare ou simule lorsque les modules sont actifs, puis constitue un dossier de financement. Le dossier passe de brouillon à PENDING lorsque les pièces requises sont présentes. La banque instruit ensuite la demande, accepte ou rejette avec un motif, et les notifications ainsi que les e-mails informent les acteurs concernés. Lorsque le produit appartient à un concessionnaire, l’acceptation peut entraîner la réservation du stock.</w:t>
      </w:r>
    </w:p>
    <w:p>
      <w:r>
        <w:rPr>
          <w:rFonts w:ascii="Calibri" w:hAnsi="Calibri"/>
        </w:rPr>
        <w:t>Enfin, le widget d’assistant intelligent est limité à l’administrateur SaaS. Il répond en français aux questions de pilotage à partir d’un schéma filtré. La chaîne de sécurité refuse les DML/DDL, SELECT *, colonnes sensibles, jointures non autorisées et requêtes sans limite ; seules des requêtes SELECT validées, limitées et exécutées en lecture seule peuvent produire une réponse. L’assistant ne décide donc ni d’un crédit ni d’une activation métier.</w:t>
      </w:r>
    </w:p>
    <w:p>
      <w:pPr>
        <w:spacing w:before="120" w:after="60"/>
        <w:jc w:val="center"/>
      </w:pPr>
      <w:r>
        <w:drawing>
          <wp:inline xmlns:a="http://schemas.openxmlformats.org/drawingml/2006/main" xmlns:pic="http://schemas.openxmlformats.org/drawingml/2006/picture">
            <wp:extent cx="2834640" cy="4441441"/>
            <wp:docPr id="18" name="Picture 18" descr="Figure 4.9 — Assistant IA SaaS : restitution d’une information de pilotage dans le back-office." title="Figure 4.9 — Assistant IA SaaS : restitution d’une information de pilotage dans le back-office."/>
            <wp:cNvGraphicFramePr>
              <a:graphicFrameLocks noChangeAspect="1"/>
            </wp:cNvGraphicFramePr>
            <a:graphic>
              <a:graphicData uri="http://schemas.openxmlformats.org/drawingml/2006/picture">
                <pic:pic>
                  <pic:nvPicPr>
                    <pic:cNvPr id="0" name="assistant .png"/>
                    <pic:cNvPicPr/>
                  </pic:nvPicPr>
                  <pic:blipFill>
                    <a:blip r:embed="rId27"/>
                    <a:stretch>
                      <a:fillRect/>
                    </a:stretch>
                  </pic:blipFill>
                  <pic:spPr>
                    <a:xfrm>
                      <a:off x="0" y="0"/>
                      <a:ext cx="2834640" cy="4441441"/>
                    </a:xfrm>
                    <a:prstGeom prst="rect"/>
                  </pic:spPr>
                </pic:pic>
              </a:graphicData>
            </a:graphic>
          </wp:inline>
        </w:drawing>
      </w:r>
    </w:p>
    <w:p>
      <w:pPr>
        <w:pStyle w:val="Caption"/>
        <w:jc w:val="center"/>
      </w:pPr>
      <w:r>
        <w:rPr>
          <w:rFonts w:ascii="Calibri" w:hAnsi="Calibri"/>
          <w:i/>
          <w:color w:val="5B6573"/>
          <w:sz w:val="18"/>
        </w:rPr>
        <w:t>Figure 4.9 — Assistant IA SaaS : restitution d’une information de pilotage dans le back-office.</w:t>
      </w:r>
    </w:p>
    <w:p>
      <w:pPr>
        <w:pStyle w:val="Heading2"/>
      </w:pPr>
      <w:r>
        <w:rPr>
          <w:rFonts w:ascii="Calibri" w:hAnsi="Calibri"/>
        </w:rPr>
        <w:t>4.7 Conclusion</w:t>
      </w:r>
    </w:p>
    <w:p>
      <w:r>
        <w:rPr>
          <w:rFonts w:ascii="Calibri" w:hAnsi="Calibri"/>
        </w:rPr>
        <w:t>La réalisation de Matchia forme un workflow cohérent et contrôlé : une banque soumet une demande complète et vérifiée, le SaaS l’analyse et la provisionne à l’état inactif, le paiement confirmé active les services et les identifiants, puis le back-office banque administre l’expérience tenant. Les extensions commerciales et le renouvellement restent soumis au SaaS et au paiement. La marketplace publique, les espaces concessionnaire et client, le financement et l’assistant d’analyse prolongent ce socle sans rompre l’isolation fonctionnelle entre les banques.</w:t>
      </w:r>
    </w:p>
    <w:p>
      <w:r>
        <w:br w:type="page"/>
      </w:r>
    </w:p>
    <w:p>
      <w:pPr>
        <w:pStyle w:val="Heading1"/>
      </w:pPr>
      <w:r>
        <w:rPr>
          <w:rFonts w:ascii="Calibri" w:hAnsi="Calibri"/>
        </w:rPr>
        <w:t>Chapitre 5 — Réalisation des parcours métier : concessionnaires, financement et assistant IA</w:t>
      </w:r>
    </w:p>
    <w:p>
      <w:r>
        <w:rPr>
          <w:rFonts w:ascii="Calibri" w:hAnsi="Calibri"/>
        </w:rPr>
        <w:t>Ce chapitre expose les parcours métier qui transforment la marketplace en un écosystème multi-acteurs. Le concessionnaire peut collaborer avec plusieurs banques depuis un seul espace ; la banque garde la décision sur le partenariat, le contrat, la publication et la demande de financement ; le client bénéficie d’un parcours guidé et traçable. Un assistant IA est enfin proposé à l’administrateur SaaS pour interroger les données de pilotage de manière sécurisée.</w:t>
      </w:r>
    </w:p>
    <w:p>
      <w:pPr>
        <w:pStyle w:val="Heading2"/>
      </w:pPr>
      <w:r>
        <w:rPr>
          <w:rFonts w:ascii="Calibri" w:hAnsi="Calibri"/>
        </w:rPr>
        <w:t>5.1 Inscription et administration des concessionnaires</w:t>
      </w:r>
    </w:p>
    <w:p>
      <w:r>
        <w:rPr>
          <w:rFonts w:ascii="Calibri" w:hAnsi="Calibri"/>
        </w:rPr>
        <w:t>Le concessionnaire commence par un formulaire public à plusieurs informations : identité de la société, immatriculation, store visé, contact, coordonnées, logo et pièces justificatives. La demande est stockée dans une file d’examen SaaS. Les documents sont traités dans un espace protégé ; ils ne sont jamais rendus publics dans la marketplace.</w:t>
      </w:r>
    </w:p>
    <w:p>
      <w:r>
        <w:rPr>
          <w:rFonts w:ascii="Calibri" w:hAnsi="Calibri"/>
        </w:rPr>
        <w:t>L’administrateur SaaS consulte la file à l’aide de filtres, de recherche et de pagination. Après contrôle, il peut approuver ou rejeter la demande avec un motif. En cas d’approbation, un compte avec le rôle DEALER_ADMIN est créé et le concessionnaire reçoit les informations nécessaires à la première connexion. Ce rôle donne accès à un espace strictement limité à son entreprise, ses produits, ses partenariats, ses contrats et ses demandes.</w:t>
      </w:r>
    </w:p>
    <w:p>
      <w:pPr>
        <w:spacing w:before="120" w:after="60"/>
        <w:jc w:val="center"/>
      </w:pPr>
      <w:r>
        <w:drawing>
          <wp:inline xmlns:a="http://schemas.openxmlformats.org/drawingml/2006/main" xmlns:pic="http://schemas.openxmlformats.org/drawingml/2006/picture">
            <wp:extent cx="5715000" cy="2413000"/>
            <wp:docPr id="19" name="Picture 19" descr="Figure 5.1 — Activité d’onboarding d’un concessionnaire et démarrage du partenariat." title="Figure 5.1 — Activité d’onboarding d’un concessionnaire et démarrage du partenariat."/>
            <wp:cNvGraphicFramePr>
              <a:graphicFrameLocks noChangeAspect="1"/>
            </wp:cNvGraphicFramePr>
            <a:graphic>
              <a:graphicData uri="http://schemas.openxmlformats.org/drawingml/2006/picture">
                <pic:pic>
                  <pic:nvPicPr>
                    <pic:cNvPr id="0" name="fig_5_1_parcours_concessionnaire.png"/>
                    <pic:cNvPicPr/>
                  </pic:nvPicPr>
                  <pic:blipFill>
                    <a:blip r:embed="rId28"/>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5.1 — Activité d’onboarding d’un concessionnaire et démarrage du partenariat.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5.1</w:t>
            </w:r>
          </w:p>
          <w:p>
            <w:pPr>
              <w:jc w:val="center"/>
            </w:pPr>
            <w:r>
              <w:rPr>
                <w:rFonts w:ascii="Calibri" w:hAnsi="Calibri"/>
                <w:b/>
                <w:color w:val="202124"/>
                <w:sz w:val="24"/>
              </w:rPr>
              <w:t>Formulaire d’inscription concessionnaire</w:t>
            </w:r>
          </w:p>
          <w:p>
            <w:pPr>
              <w:jc w:val="center"/>
            </w:pPr>
            <w:r>
              <w:rPr>
                <w:rFonts w:ascii="Calibri" w:hAnsi="Calibri"/>
                <w:i/>
                <w:color w:val="5B6573"/>
                <w:sz w:val="18"/>
              </w:rPr>
              <w:t>Insérer le formulaire public et masquer les coordonnées personnelles ainsi que les justificatifs sensibles.</w:t>
            </w:r>
          </w:p>
        </w:tc>
      </w:tr>
    </w:tbl>
    <w:p>
      <w:pPr>
        <w:spacing w:after="40"/>
      </w:pPr>
    </w:p>
    <w:p>
      <w:pPr>
        <w:pStyle w:val="Caption"/>
        <w:jc w:val="center"/>
      </w:pPr>
      <w:r>
        <w:rPr>
          <w:rFonts w:ascii="Calibri" w:hAnsi="Calibri"/>
          <w:i/>
          <w:color w:val="5B6573"/>
          <w:sz w:val="18"/>
        </w:rPr>
        <w:t>Capture 5.1 - Formulaire d’inscription concessionnaire.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5.2</w:t>
            </w:r>
          </w:p>
          <w:p>
            <w:pPr>
              <w:jc w:val="center"/>
            </w:pPr>
            <w:r>
              <w:rPr>
                <w:rFonts w:ascii="Calibri" w:hAnsi="Calibri"/>
                <w:b/>
                <w:color w:val="202124"/>
                <w:sz w:val="24"/>
              </w:rPr>
              <w:t>File SaaS des demandes concessionnaires</w:t>
            </w:r>
          </w:p>
          <w:p>
            <w:pPr>
              <w:jc w:val="center"/>
            </w:pPr>
            <w:r>
              <w:rPr>
                <w:rFonts w:ascii="Calibri" w:hAnsi="Calibri"/>
                <w:i/>
                <w:color w:val="5B6573"/>
                <w:sz w:val="18"/>
              </w:rPr>
              <w:t>Insérer la liste filtrable des dossiers à traiter avec les statuts.</w:t>
            </w:r>
          </w:p>
        </w:tc>
      </w:tr>
    </w:tbl>
    <w:p>
      <w:pPr>
        <w:spacing w:after="40"/>
      </w:pPr>
    </w:p>
    <w:p>
      <w:pPr>
        <w:pStyle w:val="Caption"/>
        <w:jc w:val="center"/>
      </w:pPr>
      <w:r>
        <w:rPr>
          <w:rFonts w:ascii="Calibri" w:hAnsi="Calibri"/>
          <w:i/>
          <w:color w:val="5B6573"/>
          <w:sz w:val="18"/>
        </w:rPr>
        <w:t>Capture 5.2 - File SaaS des demandes concessionnaires.</w:t>
      </w:r>
    </w:p>
    <w:p>
      <w:pPr>
        <w:pStyle w:val="Heading2"/>
      </w:pPr>
      <w:r>
        <w:rPr>
          <w:rFonts w:ascii="Calibri" w:hAnsi="Calibri"/>
        </w:rPr>
        <w:t>5.2 Partenariats et contrats banque–concessionnaire</w:t>
      </w:r>
    </w:p>
    <w:p>
      <w:r>
        <w:rPr>
          <w:rFonts w:ascii="Calibri" w:hAnsi="Calibri"/>
        </w:rPr>
        <w:t>Le partenariat est l’objet métier qui relie un concessionnaire, une banque et un store. Le même concessionnaire peut ainsi être présent auprès de plusieurs banques tout en conservant un compte unique. Une demande peut être initiée par le concessionnaire ou par la banque ; elle est ensuite acceptée, rejetée, suspendue ou terminée. Une contrainte d’unicité empêche la création simultanée de plusieurs liens identiques pour les mêmes acteurs.</w:t>
      </w:r>
    </w:p>
    <w:p>
      <w:r>
        <w:rPr>
          <w:rFonts w:ascii="Calibri" w:hAnsi="Calibri"/>
        </w:rPr>
        <w:t>Le contrat formalise les conditions de la relation : période de validité, modalités de facturation, commission et clauses de fin. Il suit un cycle de vie DRAFT, PENDING_ACCEPTANCE puis ACTIVE, avec des voies de rejet, d’expiration ou de clôture. Un partenariat actif ne suffit pas à autoriser la publication : un contrat actif est une précondition supplémentaire.</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trPr>
        <w:tc>
          <w:tcPr>
            <w:tcW w:type="dxa" w:w="1900"/>
            <w:tcMar>
              <w:top w:w="80" w:type="dxa"/>
              <w:start w:w="120" w:type="dxa"/>
              <w:bottom w:w="80" w:type="dxa"/>
              <w:end w:w="120" w:type="dxa"/>
            </w:tcMar>
            <w:shd w:fill="F4F6F9"/>
          </w:tcPr>
          <w:p>
            <w:r>
              <w:rPr>
                <w:rFonts w:ascii="Calibri" w:hAnsi="Calibri"/>
                <w:b/>
                <w:color w:val="202124"/>
                <w:sz w:val="18"/>
              </w:rPr>
              <w:t>Objet</w:t>
            </w:r>
          </w:p>
        </w:tc>
        <w:tc>
          <w:tcPr>
            <w:tcW w:type="dxa" w:w="3300"/>
            <w:tcMar>
              <w:top w:w="80" w:type="dxa"/>
              <w:start w:w="120" w:type="dxa"/>
              <w:bottom w:w="80" w:type="dxa"/>
              <w:end w:w="120" w:type="dxa"/>
            </w:tcMar>
            <w:shd w:fill="F4F6F9"/>
          </w:tcPr>
          <w:p>
            <w:r>
              <w:rPr>
                <w:rFonts w:ascii="Calibri" w:hAnsi="Calibri"/>
                <w:b/>
                <w:color w:val="202124"/>
                <w:sz w:val="18"/>
              </w:rPr>
              <w:t>États principaux</w:t>
            </w:r>
          </w:p>
        </w:tc>
        <w:tc>
          <w:tcPr>
            <w:tcW w:type="dxa" w:w="4160"/>
            <w:tcMar>
              <w:top w:w="80" w:type="dxa"/>
              <w:start w:w="120" w:type="dxa"/>
              <w:bottom w:w="80" w:type="dxa"/>
              <w:end w:w="120" w:type="dxa"/>
            </w:tcMar>
            <w:shd w:fill="F4F6F9"/>
          </w:tcPr>
          <w:p>
            <w:r>
              <w:rPr>
                <w:rFonts w:ascii="Calibri" w:hAnsi="Calibri"/>
                <w:b/>
                <w:color w:val="202124"/>
                <w:sz w:val="18"/>
              </w:rPr>
              <w:t>Règle métier</w:t>
            </w:r>
          </w:p>
        </w:tc>
      </w:tr>
      <w:tr>
        <w:tc>
          <w:tcPr>
            <w:tcW w:type="dxa" w:w="1900"/>
          </w:tcPr>
          <w:p>
            <w:r>
              <w:rPr>
                <w:rFonts w:ascii="Calibri" w:hAnsi="Calibri"/>
                <w:color w:val="202124"/>
                <w:sz w:val="18"/>
              </w:rPr>
              <w:t>Partenariat</w:t>
            </w:r>
          </w:p>
        </w:tc>
        <w:tc>
          <w:tcPr>
            <w:tcW w:type="dxa" w:w="3300"/>
          </w:tcPr>
          <w:p>
            <w:r>
              <w:rPr>
                <w:rFonts w:ascii="Calibri" w:hAnsi="Calibri"/>
                <w:color w:val="202124"/>
                <w:sz w:val="18"/>
              </w:rPr>
              <w:t>PENDING, ACTIVE, REJECTED, SUSPENDED, TERMINATED</w:t>
            </w:r>
          </w:p>
        </w:tc>
        <w:tc>
          <w:tcPr>
            <w:tcW w:type="dxa" w:w="4160"/>
          </w:tcPr>
          <w:p>
            <w:r>
              <w:rPr>
                <w:rFonts w:ascii="Calibri" w:hAnsi="Calibri"/>
                <w:color w:val="202124"/>
                <w:sz w:val="18"/>
              </w:rPr>
              <w:t>Un seul lien actif par banque, concessionnaire et store.</w:t>
            </w:r>
          </w:p>
        </w:tc>
      </w:tr>
      <w:tr>
        <w:tc>
          <w:tcPr>
            <w:tcW w:type="dxa" w:w="1900"/>
          </w:tcPr>
          <w:p>
            <w:r>
              <w:rPr>
                <w:rFonts w:ascii="Calibri" w:hAnsi="Calibri"/>
                <w:color w:val="202124"/>
                <w:sz w:val="18"/>
              </w:rPr>
              <w:t>Contrat</w:t>
            </w:r>
          </w:p>
        </w:tc>
        <w:tc>
          <w:tcPr>
            <w:tcW w:type="dxa" w:w="3300"/>
          </w:tcPr>
          <w:p>
            <w:r>
              <w:rPr>
                <w:rFonts w:ascii="Calibri" w:hAnsi="Calibri"/>
                <w:color w:val="202124"/>
                <w:sz w:val="18"/>
              </w:rPr>
              <w:t>DRAFT, PENDING_ACCEPTANCE, ACTIVE, REJECTED, EXPIRED, TERMINATED</w:t>
            </w:r>
          </w:p>
        </w:tc>
        <w:tc>
          <w:tcPr>
            <w:tcW w:type="dxa" w:w="4160"/>
          </w:tcPr>
          <w:p>
            <w:r>
              <w:rPr>
                <w:rFonts w:ascii="Calibri" w:hAnsi="Calibri"/>
                <w:color w:val="202124"/>
                <w:sz w:val="18"/>
              </w:rPr>
              <w:t>La publication exige un contrat ACTIVE sur le partenariat.</w:t>
            </w:r>
          </w:p>
        </w:tc>
      </w:tr>
      <w:tr>
        <w:tc>
          <w:tcPr>
            <w:tcW w:type="dxa" w:w="1900"/>
          </w:tcPr>
          <w:p>
            <w:r>
              <w:rPr>
                <w:rFonts w:ascii="Calibri" w:hAnsi="Calibri"/>
                <w:color w:val="202124"/>
                <w:sz w:val="18"/>
              </w:rPr>
              <w:t>Publication</w:t>
            </w:r>
          </w:p>
        </w:tc>
        <w:tc>
          <w:tcPr>
            <w:tcW w:type="dxa" w:w="3300"/>
          </w:tcPr>
          <w:p>
            <w:r>
              <w:rPr>
                <w:rFonts w:ascii="Calibri" w:hAnsi="Calibri"/>
                <w:color w:val="202124"/>
                <w:sz w:val="18"/>
              </w:rPr>
              <w:t>BROUILLON, SOUMISE, APPROUVÉE, PUBLIÉE, RETIRÉE</w:t>
            </w:r>
          </w:p>
        </w:tc>
        <w:tc>
          <w:tcPr>
            <w:tcW w:type="dxa" w:w="4160"/>
          </w:tcPr>
          <w:p>
            <w:r>
              <w:rPr>
                <w:rFonts w:ascii="Calibri" w:hAnsi="Calibri"/>
                <w:color w:val="202124"/>
                <w:sz w:val="18"/>
              </w:rPr>
              <w:t>La banque décide de la visibilité publique du produit.</w:t>
            </w:r>
          </w:p>
        </w:tc>
      </w:tr>
    </w:tbl>
    <w:p>
      <w:pPr>
        <w:spacing w:after="60"/>
      </w:pPr>
    </w:p>
    <w:p>
      <w:pPr>
        <w:spacing w:before="120" w:after="60"/>
        <w:jc w:val="center"/>
      </w:pPr>
      <w:r>
        <w:drawing>
          <wp:inline xmlns:a="http://schemas.openxmlformats.org/drawingml/2006/main" xmlns:pic="http://schemas.openxmlformats.org/drawingml/2006/picture">
            <wp:extent cx="5715000" cy="2413000"/>
            <wp:docPr id="20" name="Picture 20" descr="Figure 5.2 — Cycle de vie de la publication d’un produit concessionnaire." title="Figure 5.2 — Cycle de vie de la publication d’un produit concessionnaire."/>
            <wp:cNvGraphicFramePr>
              <a:graphicFrameLocks noChangeAspect="1"/>
            </wp:cNvGraphicFramePr>
            <a:graphic>
              <a:graphicData uri="http://schemas.openxmlformats.org/drawingml/2006/picture">
                <pic:pic>
                  <pic:nvPicPr>
                    <pic:cNvPr id="0" name="fig_5_2_etats_publication.png"/>
                    <pic:cNvPicPr/>
                  </pic:nvPicPr>
                  <pic:blipFill>
                    <a:blip r:embed="rId29"/>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5.2 — Cycle de vie de la publication d’un produit concessionnaire.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5.3</w:t>
            </w:r>
          </w:p>
          <w:p>
            <w:pPr>
              <w:jc w:val="center"/>
            </w:pPr>
            <w:r>
              <w:rPr>
                <w:rFonts w:ascii="Calibri" w:hAnsi="Calibri"/>
                <w:b/>
                <w:color w:val="202124"/>
                <w:sz w:val="24"/>
              </w:rPr>
              <w:t>Espace concessionnaire : partenariats et contrats</w:t>
            </w:r>
          </w:p>
          <w:p>
            <w:pPr>
              <w:jc w:val="center"/>
            </w:pPr>
            <w:r>
              <w:rPr>
                <w:rFonts w:ascii="Calibri" w:hAnsi="Calibri"/>
                <w:i/>
                <w:color w:val="5B6573"/>
                <w:sz w:val="18"/>
              </w:rPr>
              <w:t>Insérer les onglets de gestion des partenariats et des contrats dans l’espace concessionnaire.</w:t>
            </w:r>
          </w:p>
        </w:tc>
      </w:tr>
    </w:tbl>
    <w:p>
      <w:pPr>
        <w:spacing w:after="40"/>
      </w:pPr>
    </w:p>
    <w:p>
      <w:pPr>
        <w:pStyle w:val="Caption"/>
        <w:jc w:val="center"/>
      </w:pPr>
      <w:r>
        <w:rPr>
          <w:rFonts w:ascii="Calibri" w:hAnsi="Calibri"/>
          <w:i/>
          <w:color w:val="5B6573"/>
          <w:sz w:val="18"/>
        </w:rPr>
        <w:t>Capture 5.3 - Espace concessionnaire : partenariats et contrats.</w:t>
      </w:r>
    </w:p>
    <w:p>
      <w:pPr>
        <w:pStyle w:val="Heading2"/>
      </w:pPr>
      <w:r>
        <w:rPr>
          <w:rFonts w:ascii="Calibri" w:hAnsi="Calibri"/>
        </w:rPr>
        <w:t>5.3 Produits, stock et publication multi-banque</w:t>
      </w:r>
    </w:p>
    <w:p>
      <w:r>
        <w:rPr>
          <w:rFonts w:ascii="Calibri" w:hAnsi="Calibri"/>
        </w:rPr>
        <w:t>Le concessionnaire gère son catalogue produit depuis son espace : désignation, images, prix, conditions d’éligibilité, paramètres liés au store et documents associés. Le stock est suivi selon les quantités totale, disponible et réservée. La dissociation entre le produit et sa publication permet au concessionnaire de présenter le même produit à plusieurs banques, sans multiplier les comptes ni recopier le stock dans chaque marketplace.</w:t>
      </w:r>
    </w:p>
    <w:p>
      <w:r>
        <w:rPr>
          <w:rFonts w:ascii="Calibri" w:hAnsi="Calibri"/>
        </w:rPr>
        <w:t>Pour être affiché au public, le produit doit être actif, le concessionnaire doit être approuvé, le partenariat et le contrat doivent être valides, le store doit être actif dans la marketplace de la banque et la publication doit être approuvée par cette banque. La décision bancaire est donc individuelle : une publication acceptée chez une banque n’implique aucune publication automatique auprès d’une autre.</w:t>
      </w:r>
    </w:p>
    <w:p>
      <w:pPr>
        <w:pStyle w:val="ListBullet"/>
      </w:pPr>
      <w:r>
        <w:rPr>
          <w:rFonts w:ascii="Calibri" w:hAnsi="Calibri"/>
        </w:rPr>
        <w:t>Création ou modification du produit et de ses médias dans l’espace concessionnaire.</w:t>
      </w:r>
    </w:p>
    <w:p>
      <w:pPr>
        <w:pStyle w:val="ListBullet"/>
      </w:pPr>
      <w:r>
        <w:rPr>
          <w:rFonts w:ascii="Calibri" w:hAnsi="Calibri"/>
        </w:rPr>
        <w:t>Ajout de stock et conservation de la disponibilité réellement exploitable.</w:t>
      </w:r>
    </w:p>
    <w:p>
      <w:pPr>
        <w:pStyle w:val="ListBullet"/>
      </w:pPr>
      <w:r>
        <w:rPr>
          <w:rFonts w:ascii="Calibri" w:hAnsi="Calibri"/>
        </w:rPr>
        <w:t>Soumission du produit vers un partenariat bancaire actif.</w:t>
      </w:r>
    </w:p>
    <w:p>
      <w:pPr>
        <w:pStyle w:val="ListBullet"/>
      </w:pPr>
      <w:r>
        <w:rPr>
          <w:rFonts w:ascii="Calibri" w:hAnsi="Calibri"/>
        </w:rPr>
        <w:t>Validation ou refus par la banque, avec traçabilité de l’état de publication.</w:t>
      </w:r>
    </w:p>
    <w:p>
      <w:pPr>
        <w:pStyle w:val="ListBullet"/>
      </w:pPr>
      <w:r>
        <w:rPr>
          <w:rFonts w:ascii="Calibri" w:hAnsi="Calibri"/>
        </w:rPr>
        <w:t>Affichage public uniquement lorsque toutes les préconditions métier sont satisfaites.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5.4</w:t>
            </w:r>
          </w:p>
          <w:p>
            <w:pPr>
              <w:jc w:val="center"/>
            </w:pPr>
            <w:r>
              <w:rPr>
                <w:rFonts w:ascii="Calibri" w:hAnsi="Calibri"/>
                <w:b/>
                <w:color w:val="202124"/>
                <w:sz w:val="24"/>
              </w:rPr>
              <w:t>Création d’un produit et ajout de stock</w:t>
            </w:r>
          </w:p>
          <w:p>
            <w:pPr>
              <w:jc w:val="center"/>
            </w:pPr>
            <w:r>
              <w:rPr>
                <w:rFonts w:ascii="Calibri" w:hAnsi="Calibri"/>
                <w:i/>
                <w:color w:val="5B6573"/>
                <w:sz w:val="18"/>
              </w:rPr>
              <w:t>Insérer l’écran de création du produit, puis le composant d’ajout de stock ou de documents.</w:t>
            </w:r>
          </w:p>
        </w:tc>
      </w:tr>
    </w:tbl>
    <w:p>
      <w:pPr>
        <w:spacing w:after="40"/>
      </w:pPr>
    </w:p>
    <w:p>
      <w:pPr>
        <w:pStyle w:val="Caption"/>
        <w:jc w:val="center"/>
      </w:pPr>
      <w:r>
        <w:rPr>
          <w:rFonts w:ascii="Calibri" w:hAnsi="Calibri"/>
          <w:i/>
          <w:color w:val="5B6573"/>
          <w:sz w:val="18"/>
        </w:rPr>
        <w:t>Capture 5.4 - Création d’un produit et ajout de stock.</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5.5</w:t>
            </w:r>
          </w:p>
          <w:p>
            <w:pPr>
              <w:jc w:val="center"/>
            </w:pPr>
            <w:r>
              <w:rPr>
                <w:rFonts w:ascii="Calibri" w:hAnsi="Calibri"/>
                <w:b/>
                <w:color w:val="202124"/>
                <w:sz w:val="24"/>
              </w:rPr>
              <w:t>Validation bancaire d’une publication</w:t>
            </w:r>
          </w:p>
          <w:p>
            <w:pPr>
              <w:jc w:val="center"/>
            </w:pPr>
            <w:r>
              <w:rPr>
                <w:rFonts w:ascii="Calibri" w:hAnsi="Calibri"/>
                <w:i/>
                <w:color w:val="5B6573"/>
                <w:sz w:val="18"/>
              </w:rPr>
              <w:t>Insérer l’écran banque permettant d’approuver ou de refuser une publication de concessionnaire.</w:t>
            </w:r>
          </w:p>
        </w:tc>
      </w:tr>
    </w:tbl>
    <w:p>
      <w:pPr>
        <w:spacing w:after="40"/>
      </w:pPr>
    </w:p>
    <w:p>
      <w:pPr>
        <w:pStyle w:val="Caption"/>
        <w:jc w:val="center"/>
      </w:pPr>
      <w:r>
        <w:rPr>
          <w:rFonts w:ascii="Calibri" w:hAnsi="Calibri"/>
          <w:i/>
          <w:color w:val="5B6573"/>
          <w:sz w:val="18"/>
        </w:rPr>
        <w:t>Capture 5.5 - Validation bancaire d’une publication.</w:t>
      </w:r>
    </w:p>
    <w:p>
      <w:pPr>
        <w:pStyle w:val="Heading2"/>
      </w:pPr>
      <w:r>
        <w:rPr>
          <w:rFonts w:ascii="Calibri" w:hAnsi="Calibri"/>
        </w:rPr>
        <w:t>5.4 Suivi concessionnaire des demandes de financement liées à ses produits</w:t>
      </w:r>
    </w:p>
    <w:p>
      <w:r>
        <w:rPr>
          <w:rFonts w:ascii="Calibri" w:hAnsi="Calibri"/>
        </w:rPr>
        <w:t>Le concessionnaire dispose de la page « Mes demandes de financement » pour suivre, depuis son compte unique, les dossiers déposés par les clients pour ses produits publiés sur les différentes marketplaces partenaires. La page centralise les demandes, même lorsqu’un même catalogue est présenté auprès de plusieurs banques. Elle affiche des indicateurs du nombre total de dossiers ainsi que des demandes en attente, acceptées et rejetées.</w:t>
      </w:r>
    </w:p>
    <w:p>
      <w:r>
        <w:rPr>
          <w:rFonts w:ascii="Calibri" w:hAnsi="Calibri"/>
        </w:rPr>
        <w:t>La liste présente la référence du dossier, le produit concerné, le client, la banque et la marketplace, le montant demandé, la date de création et le statut. Une recherche par client ou référence, un filtre par statut et un filtre par banque permettent au concessionnaire de retrouver rapidement un dossier. La consultation détaillée restitue notamment le montant financé, la mensualité, la durée, les coordonnées du client, le store et le prix du produit.</w:t>
      </w:r>
    </w:p>
    <w:tbl>
      <w:tblPr>
        <w:tblStyle w:val="TableGrid"/>
        <w:tblW w:type="dxa" w:w="9360"/>
        <w:jc w:val="left"/>
        <w:tblLayout w:type="fixed"/>
        <w:tblLook w:firstColumn="1" w:firstRow="1" w:lastColumn="0" w:lastRow="0" w:noHBand="0" w:noVBand="1" w:val="04A0"/>
        <w:tblInd w:w="120" w:type="dxa"/>
      </w:tblPr>
      <w:tblGrid>
        <w:gridCol w:w="1800"/>
        <w:gridCol w:w="3900"/>
        <w:gridCol w:w="3660"/>
      </w:tblGrid>
      <w:tr>
        <w:trPr>
          <w:tblHeader w:val="true"/>
        </w:trPr>
        <w:tc>
          <w:tcPr>
            <w:tcW w:type="dxa" w:w="1800"/>
            <w:tcMar>
              <w:top w:w="80" w:type="dxa"/>
              <w:start w:w="120" w:type="dxa"/>
              <w:bottom w:w="80" w:type="dxa"/>
              <w:end w:w="120" w:type="dxa"/>
            </w:tcMar>
            <w:shd w:fill="F4F6F9"/>
          </w:tcPr>
          <w:p>
            <w:r>
              <w:rPr>
                <w:rFonts w:ascii="Calibri" w:hAnsi="Calibri"/>
                <w:b/>
                <w:color w:val="202124"/>
                <w:sz w:val="18"/>
              </w:rPr>
              <w:t>État de la demande</w:t>
            </w:r>
          </w:p>
        </w:tc>
        <w:tc>
          <w:tcPr>
            <w:tcW w:type="dxa" w:w="3900"/>
            <w:tcMar>
              <w:top w:w="80" w:type="dxa"/>
              <w:start w:w="120" w:type="dxa"/>
              <w:bottom w:w="80" w:type="dxa"/>
              <w:end w:w="120" w:type="dxa"/>
            </w:tcMar>
            <w:shd w:fill="F4F6F9"/>
          </w:tcPr>
          <w:p>
            <w:r>
              <w:rPr>
                <w:rFonts w:ascii="Calibri" w:hAnsi="Calibri"/>
                <w:b/>
                <w:color w:val="202124"/>
                <w:sz w:val="18"/>
              </w:rPr>
              <w:t>Lecture côté concessionnaire</w:t>
            </w:r>
          </w:p>
        </w:tc>
        <w:tc>
          <w:tcPr>
            <w:tcW w:type="dxa" w:w="3660"/>
            <w:tcMar>
              <w:top w:w="80" w:type="dxa"/>
              <w:start w:w="120" w:type="dxa"/>
              <w:bottom w:w="80" w:type="dxa"/>
              <w:end w:w="120" w:type="dxa"/>
            </w:tcMar>
            <w:shd w:fill="F4F6F9"/>
          </w:tcPr>
          <w:p>
            <w:r>
              <w:rPr>
                <w:rFonts w:ascii="Calibri" w:hAnsi="Calibri"/>
                <w:b/>
                <w:color w:val="202124"/>
                <w:sz w:val="18"/>
              </w:rPr>
              <w:t>Effet métier</w:t>
            </w:r>
          </w:p>
        </w:tc>
      </w:tr>
      <w:tr>
        <w:tc>
          <w:tcPr>
            <w:tcW w:type="dxa" w:w="1800"/>
          </w:tcPr>
          <w:p>
            <w:r>
              <w:rPr>
                <w:rFonts w:ascii="Calibri" w:hAnsi="Calibri"/>
                <w:color w:val="202124"/>
                <w:sz w:val="18"/>
              </w:rPr>
              <w:t>PENDING</w:t>
            </w:r>
          </w:p>
        </w:tc>
        <w:tc>
          <w:tcPr>
            <w:tcW w:type="dxa" w:w="3900"/>
          </w:tcPr>
          <w:p>
            <w:r>
              <w:rPr>
                <w:rFonts w:ascii="Calibri" w:hAnsi="Calibri"/>
                <w:color w:val="202124"/>
                <w:sz w:val="18"/>
              </w:rPr>
              <w:t>Dossier soumis à la banque et visible comme en attente.</w:t>
            </w:r>
          </w:p>
        </w:tc>
        <w:tc>
          <w:tcPr>
            <w:tcW w:type="dxa" w:w="3660"/>
          </w:tcPr>
          <w:p>
            <w:r>
              <w:rPr>
                <w:rFonts w:ascii="Calibri" w:hAnsi="Calibri"/>
                <w:color w:val="202124"/>
                <w:sz w:val="18"/>
              </w:rPr>
              <w:t>Le produit reste disponible tant qu’aucune décision favorable n’est enregistrée.</w:t>
            </w:r>
          </w:p>
        </w:tc>
      </w:tr>
      <w:tr>
        <w:tc>
          <w:tcPr>
            <w:tcW w:type="dxa" w:w="1800"/>
          </w:tcPr>
          <w:p>
            <w:r>
              <w:rPr>
                <w:rFonts w:ascii="Calibri" w:hAnsi="Calibri"/>
                <w:color w:val="202124"/>
                <w:sz w:val="18"/>
              </w:rPr>
              <w:t>ACCEPTED</w:t>
            </w:r>
          </w:p>
        </w:tc>
        <w:tc>
          <w:tcPr>
            <w:tcW w:type="dxa" w:w="3900"/>
          </w:tcPr>
          <w:p>
            <w:r>
              <w:rPr>
                <w:rFonts w:ascii="Calibri" w:hAnsi="Calibri"/>
                <w:color w:val="202124"/>
                <w:sz w:val="18"/>
              </w:rPr>
              <w:t>Décision favorable visible dans le suivi du concessionnaire.</w:t>
            </w:r>
          </w:p>
        </w:tc>
        <w:tc>
          <w:tcPr>
            <w:tcW w:type="dxa" w:w="3660"/>
          </w:tcPr>
          <w:p>
            <w:r>
              <w:rPr>
                <w:rFonts w:ascii="Calibri" w:hAnsi="Calibri"/>
                <w:color w:val="202124"/>
                <w:sz w:val="18"/>
              </w:rPr>
              <w:t>Le service réserve le stock du produit concerné afin de fiabiliser la disponibilité.</w:t>
            </w:r>
          </w:p>
        </w:tc>
      </w:tr>
      <w:tr>
        <w:tc>
          <w:tcPr>
            <w:tcW w:type="dxa" w:w="1800"/>
          </w:tcPr>
          <w:p>
            <w:r>
              <w:rPr>
                <w:rFonts w:ascii="Calibri" w:hAnsi="Calibri"/>
                <w:color w:val="202124"/>
                <w:sz w:val="18"/>
              </w:rPr>
              <w:t>REJECTED</w:t>
            </w:r>
          </w:p>
        </w:tc>
        <w:tc>
          <w:tcPr>
            <w:tcW w:type="dxa" w:w="3900"/>
          </w:tcPr>
          <w:p>
            <w:r>
              <w:rPr>
                <w:rFonts w:ascii="Calibri" w:hAnsi="Calibri"/>
                <w:color w:val="202124"/>
                <w:sz w:val="18"/>
              </w:rPr>
              <w:t>Décision défavorable visible dans le suivi.</w:t>
            </w:r>
          </w:p>
        </w:tc>
        <w:tc>
          <w:tcPr>
            <w:tcW w:type="dxa" w:w="3660"/>
          </w:tcPr>
          <w:p>
            <w:r>
              <w:rPr>
                <w:rFonts w:ascii="Calibri" w:hAnsi="Calibri"/>
                <w:color w:val="202124"/>
                <w:sz w:val="18"/>
              </w:rPr>
              <w:t>Aucune réservation de stock n’est créée ; le produit demeure disponible.</w:t>
            </w:r>
          </w:p>
        </w:tc>
      </w:tr>
    </w:tbl>
    <w:p>
      <w:pPr>
        <w:spacing w:after="60"/>
      </w:pPr>
    </w:p>
    <w:p>
      <w:r>
        <w:rPr>
          <w:rFonts w:ascii="Calibri" w:hAnsi="Calibri"/>
        </w:rPr>
        <w:t>Le rôle du concessionnaire est un rôle de suivi : aucune action d’acceptation ou de rejet n’est disponible dans cet espace, car l’instruction relève de la banque. L’accès est protégé par l’appartenance du produit : le service ne retourne que les demandes associées aux produits du concessionnaire connecté. Les notifications et l’e-mail de décision sont adressés au client ; le concessionnaire constate la mise à jour par son tableau de suivi. Ce cloisonnement protège les données du dossier et préserve l’autorité de décision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5.6</w:t>
            </w:r>
          </w:p>
          <w:p>
            <w:pPr>
              <w:jc w:val="center"/>
            </w:pPr>
            <w:r>
              <w:rPr>
                <w:rFonts w:ascii="Calibri" w:hAnsi="Calibri"/>
                <w:b/>
                <w:color w:val="202124"/>
                <w:sz w:val="24"/>
              </w:rPr>
              <w:t>Suivi concessionnaire des demandes de financement</w:t>
            </w:r>
          </w:p>
          <w:p>
            <w:pPr>
              <w:jc w:val="center"/>
            </w:pPr>
            <w:r>
              <w:rPr>
                <w:rFonts w:ascii="Calibri" w:hAnsi="Calibri"/>
                <w:i/>
                <w:color w:val="5B6573"/>
                <w:sz w:val="18"/>
              </w:rPr>
              <w:t>Insérer la liste des demandes avec les indicateurs, les filtres banque/statut et l’ouverture du détail d’un dossier lié à un produit du concessionnaire.</w:t>
            </w:r>
          </w:p>
        </w:tc>
      </w:tr>
    </w:tbl>
    <w:p>
      <w:pPr>
        <w:spacing w:after="40"/>
      </w:pPr>
    </w:p>
    <w:p>
      <w:pPr>
        <w:pStyle w:val="Caption"/>
        <w:jc w:val="center"/>
      </w:pPr>
      <w:r>
        <w:rPr>
          <w:rFonts w:ascii="Calibri" w:hAnsi="Calibri"/>
          <w:i/>
          <w:color w:val="5B6573"/>
          <w:sz w:val="18"/>
        </w:rPr>
        <w:t>Capture 5.6 - Suivi concessionnaire des demandes de financement.</w:t>
      </w:r>
    </w:p>
    <w:p>
      <w:pPr>
        <w:pStyle w:val="Heading2"/>
      </w:pPr>
      <w:r>
        <w:rPr>
          <w:rFonts w:ascii="Calibri" w:hAnsi="Calibri"/>
        </w:rPr>
        <w:t>5.5 Parcours client et demande de financement</w:t>
      </w:r>
    </w:p>
    <w:p>
      <w:pPr>
        <w:pStyle w:val="Heading3"/>
      </w:pPr>
      <w:r>
        <w:rPr>
          <w:rFonts w:ascii="Calibri" w:hAnsi="Calibri"/>
        </w:rPr>
        <w:t>5.5.1 Inscription du client et activation du compte</w:t>
      </w:r>
    </w:p>
    <w:p>
      <w:r>
        <w:rPr>
          <w:rFonts w:ascii="Calibri" w:hAnsi="Calibri"/>
        </w:rPr>
        <w:t>Lorsqu’un visiteur souhaite déposer une demande de financement sans être connecté, il est orienté vers le formulaire « Créer mon compte client ». L’inscription doit être effectuée depuis une marketplace bancaire : le contexte du tenant, porté par le slug de la banque, rattache le futur compte à la banque concernée et empêche une inscription hors de cet espace.</w:t>
      </w:r>
    </w:p>
    <w:p>
      <w:r>
        <w:rPr>
          <w:rFonts w:ascii="Calibri" w:hAnsi="Calibri"/>
        </w:rPr>
        <w:t>Le formulaire recueille le nom complet, l’adresse e-mail, le téléphone, la date de naissance, l’adresse postale, le mot de passe et sa confirmation. Une photo de profil peut également être ajoutée au format JPG, PNG ou WEBP. Les contrôles vérifient la présence et le format des informations, la longueur minimale du mot de passe, la concordance de sa confirmation ainsi que l’unicité de l’adresse e-mail.</w:t>
      </w:r>
    </w:p>
    <w:p>
      <w:r>
        <w:rPr>
          <w:rFonts w:ascii="Calibri" w:hAnsi="Calibri"/>
        </w:rPr>
        <w:t>Après validation, la plateforme enregistre une inscription en attente et envoie un code de vérification à six chiffres. Ce code est à usage unique et expire après dix minutes ; un renvoi contrôlé est proposé lorsque nécessaire. Seule la validation du code crée le compte actif avec le rôle CLIENT et le rattachement à la banque. Le client peut alors se connecter puis reprendre le parcours de demande de financement initié depuis le simulateur ou la fiche produit.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5.7</w:t>
            </w:r>
          </w:p>
          <w:p>
            <w:pPr>
              <w:jc w:val="center"/>
            </w:pPr>
            <w:r>
              <w:rPr>
                <w:rFonts w:ascii="Calibri" w:hAnsi="Calibri"/>
                <w:b/>
                <w:color w:val="202124"/>
                <w:sz w:val="24"/>
              </w:rPr>
              <w:t>Inscription et vérification d’un compte client</w:t>
            </w:r>
          </w:p>
          <w:p>
            <w:pPr>
              <w:jc w:val="center"/>
            </w:pPr>
            <w:r>
              <w:rPr>
                <w:rFonts w:ascii="Calibri" w:hAnsi="Calibri"/>
                <w:i/>
                <w:color w:val="5B6573"/>
                <w:sz w:val="18"/>
              </w:rPr>
              <w:t>Insérer le formulaire d’inscription dans le contexte de la marketplace, puis l’écran de saisie du code de vérification envoyé par e-mail.</w:t>
            </w:r>
          </w:p>
        </w:tc>
      </w:tr>
    </w:tbl>
    <w:p>
      <w:pPr>
        <w:spacing w:after="40"/>
      </w:pPr>
    </w:p>
    <w:p>
      <w:pPr>
        <w:pStyle w:val="Caption"/>
        <w:jc w:val="center"/>
      </w:pPr>
      <w:r>
        <w:rPr>
          <w:rFonts w:ascii="Calibri" w:hAnsi="Calibri"/>
          <w:i/>
          <w:color w:val="5B6573"/>
          <w:sz w:val="18"/>
        </w:rPr>
        <w:t>Capture 5.7 - Inscription et vérification d’un compte client.</w:t>
      </w:r>
    </w:p>
    <w:p>
      <w:pPr>
        <w:pStyle w:val="Heading3"/>
      </w:pPr>
      <w:r>
        <w:rPr>
          <w:rFonts w:ascii="Calibri" w:hAnsi="Calibri"/>
        </w:rPr>
        <w:t>5.5.2 Découverte, comparaison et simulation</w:t>
      </w:r>
    </w:p>
    <w:p>
      <w:r>
        <w:rPr>
          <w:rFonts w:ascii="Calibri" w:hAnsi="Calibri"/>
        </w:rPr>
        <w:t>Le client consulte les produits dans le contexte de la marketplace bancaire et du store sélectionné. Il peut comparer les offres et simuler un financement afin d’obtenir une estimation fondée sur le montant, la durée, l’apport et les paramètres du store. Le simulateur est une aide à la décision ; il ne constitue ni une décision de crédit ni un accord automatique de la banque.</w:t>
      </w:r>
    </w:p>
    <w:p>
      <w:pPr>
        <w:pStyle w:val="Heading3"/>
      </w:pPr>
      <w:r>
        <w:rPr>
          <w:rFonts w:ascii="Calibri" w:hAnsi="Calibri"/>
        </w:rPr>
        <w:t>5.5.3 Constitution du dossier</w:t>
      </w:r>
    </w:p>
    <w:p>
      <w:r>
        <w:rPr>
          <w:rFonts w:ascii="Calibri" w:hAnsi="Calibri"/>
        </w:rPr>
        <w:t>La demande de financement est créée à l’état brouillon afin de permettre au client de compléter progressivement son dossier. Les règles de pièces requises dépendent de la banque et du store : identité, justificatif de domicile, justificatif de revenus, attestation d’emploi ou relevé bancaire peuvent être demandés. Pendant la phase de brouillon, le client peut ajouter ou retirer ses fichiers. La soumission est bloquée tant que les documents obligatoires ne sont pas présents.</w:t>
      </w:r>
    </w:p>
    <w:p>
      <w:pPr>
        <w:spacing w:before="120" w:after="60"/>
        <w:jc w:val="center"/>
      </w:pPr>
      <w:r>
        <w:drawing>
          <wp:inline xmlns:a="http://schemas.openxmlformats.org/drawingml/2006/main" xmlns:pic="http://schemas.openxmlformats.org/drawingml/2006/picture">
            <wp:extent cx="5715000" cy="3270250"/>
            <wp:docPr id="21" name="Picture 21" descr="Figure 5.3 — Diagramme d’activité du parcours de demande de financement." title="Figure 5.3 — Diagramme d’activité du parcours de demande de financement."/>
            <wp:cNvGraphicFramePr>
              <a:graphicFrameLocks noChangeAspect="1"/>
            </wp:cNvGraphicFramePr>
            <a:graphic>
              <a:graphicData uri="http://schemas.openxmlformats.org/drawingml/2006/picture">
                <pic:pic>
                  <pic:nvPicPr>
                    <pic:cNvPr id="0" name="fig_5_3_activite_financement.png"/>
                    <pic:cNvPicPr/>
                  </pic:nvPicPr>
                  <pic:blipFill>
                    <a:blip r:embed="rId30"/>
                    <a:stretch>
                      <a:fillRect/>
                    </a:stretch>
                  </pic:blipFill>
                  <pic:spPr>
                    <a:xfrm>
                      <a:off x="0" y="0"/>
                      <a:ext cx="5715000" cy="3270250"/>
                    </a:xfrm>
                    <a:prstGeom prst="rect"/>
                  </pic:spPr>
                </pic:pic>
              </a:graphicData>
            </a:graphic>
          </wp:inline>
        </w:drawing>
      </w:r>
    </w:p>
    <w:p>
      <w:pPr>
        <w:pStyle w:val="Caption"/>
        <w:jc w:val="center"/>
      </w:pPr>
      <w:r>
        <w:rPr>
          <w:rFonts w:ascii="Calibri" w:hAnsi="Calibri"/>
          <w:i/>
          <w:color w:val="5B6573"/>
          <w:sz w:val="18"/>
        </w:rPr>
        <w:t>Figure 5.3 — Diagramme d’activité du parcours de demande de financement.</w:t>
      </w:r>
    </w:p>
    <w:p>
      <w:pPr>
        <w:pStyle w:val="Heading3"/>
      </w:pPr>
      <w:r>
        <w:rPr>
          <w:rFonts w:ascii="Calibri" w:hAnsi="Calibri"/>
        </w:rPr>
        <w:t>5.5.4 Instruction par la banque et effet sur le stock</w:t>
      </w:r>
    </w:p>
    <w:p>
      <w:r>
        <w:rPr>
          <w:rFonts w:ascii="Calibri" w:hAnsi="Calibri"/>
        </w:rPr>
        <w:t>L’agent bancaire consulte les demandes filtrées par store et statut, effectue une recherche et télécharge les pièces justificatives nécessaires à l’instruction. Une demande PENDING peut être acceptée ou rejetée avec un motif. Lorsque le produit retenu appartient à un concessionnaire, l’acceptation déclenche la réservation du stock ; le statut est alors visible dans le suivi du concessionnaire. Le client est informé dans son tableau de bord et par les canaux de notification prévus.</w:t>
      </w:r>
    </w:p>
    <w:p>
      <w:pPr>
        <w:spacing w:before="120" w:after="60"/>
        <w:jc w:val="center"/>
      </w:pPr>
      <w:r>
        <w:drawing>
          <wp:inline xmlns:a="http://schemas.openxmlformats.org/drawingml/2006/main" xmlns:pic="http://schemas.openxmlformats.org/drawingml/2006/picture">
            <wp:extent cx="5715000" cy="3175000"/>
            <wp:docPr id="22" name="Picture 22" descr="Figure 5.4 — Diagramme de séquence : dépôt, instruction et notification d’une demande de financement." title="Figure 5.4 — Diagramme de séquence : dépôt, instruction et notification d’une demande de financement."/>
            <wp:cNvGraphicFramePr>
              <a:graphicFrameLocks noChangeAspect="1"/>
            </wp:cNvGraphicFramePr>
            <a:graphic>
              <a:graphicData uri="http://schemas.openxmlformats.org/drawingml/2006/picture">
                <pic:pic>
                  <pic:nvPicPr>
                    <pic:cNvPr id="0" name="fig_5_4_sequence_financement.png"/>
                    <pic:cNvPicPr/>
                  </pic:nvPicPr>
                  <pic:blipFill>
                    <a:blip r:embed="rId31"/>
                    <a:stretch>
                      <a:fillRect/>
                    </a:stretch>
                  </pic:blipFill>
                  <pic:spPr>
                    <a:xfrm>
                      <a:off x="0" y="0"/>
                      <a:ext cx="5715000" cy="3175000"/>
                    </a:xfrm>
                    <a:prstGeom prst="rect"/>
                  </pic:spPr>
                </pic:pic>
              </a:graphicData>
            </a:graphic>
          </wp:inline>
        </w:drawing>
      </w:r>
    </w:p>
    <w:p>
      <w:pPr>
        <w:pStyle w:val="Caption"/>
        <w:jc w:val="center"/>
      </w:pPr>
      <w:r>
        <w:rPr>
          <w:rFonts w:ascii="Calibri" w:hAnsi="Calibri"/>
          <w:i/>
          <w:color w:val="5B6573"/>
          <w:sz w:val="18"/>
        </w:rPr>
        <w:t>Figure 5.4 — Diagramme de séquence : dépôt, instruction et notification d’une demande de financement.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5.8</w:t>
            </w:r>
          </w:p>
          <w:p>
            <w:pPr>
              <w:jc w:val="center"/>
            </w:pPr>
            <w:r>
              <w:rPr>
                <w:rFonts w:ascii="Calibri" w:hAnsi="Calibri"/>
                <w:b/>
                <w:color w:val="202124"/>
                <w:sz w:val="24"/>
              </w:rPr>
              <w:t>Simulateur et création du dossier client</w:t>
            </w:r>
          </w:p>
          <w:p>
            <w:pPr>
              <w:jc w:val="center"/>
            </w:pPr>
            <w:r>
              <w:rPr>
                <w:rFonts w:ascii="Calibri" w:hAnsi="Calibri"/>
                <w:i/>
                <w:color w:val="5B6573"/>
                <w:sz w:val="18"/>
              </w:rPr>
              <w:t>Insérer la simulation puis le formulaire de nouvelle demande dans le contexte du store.</w:t>
            </w:r>
          </w:p>
        </w:tc>
      </w:tr>
    </w:tbl>
    <w:p>
      <w:pPr>
        <w:spacing w:after="40"/>
      </w:pPr>
    </w:p>
    <w:p>
      <w:pPr>
        <w:pStyle w:val="Caption"/>
        <w:jc w:val="center"/>
      </w:pPr>
      <w:r>
        <w:rPr>
          <w:rFonts w:ascii="Calibri" w:hAnsi="Calibri"/>
          <w:i/>
          <w:color w:val="5B6573"/>
          <w:sz w:val="18"/>
        </w:rPr>
        <w:t>Capture 5.8 - Simulateur et création du dossier client.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5.9</w:t>
            </w:r>
          </w:p>
          <w:p>
            <w:pPr>
              <w:jc w:val="center"/>
            </w:pPr>
            <w:r>
              <w:rPr>
                <w:rFonts w:ascii="Calibri" w:hAnsi="Calibri"/>
                <w:b/>
                <w:color w:val="202124"/>
                <w:sz w:val="24"/>
              </w:rPr>
              <w:t>Téléversement des pièces justificatives</w:t>
            </w:r>
          </w:p>
          <w:p>
            <w:pPr>
              <w:jc w:val="center"/>
            </w:pPr>
            <w:r>
              <w:rPr>
                <w:rFonts w:ascii="Calibri" w:hAnsi="Calibri"/>
                <w:i/>
                <w:color w:val="5B6573"/>
                <w:sz w:val="18"/>
              </w:rPr>
              <w:t>Insérer la zone d’ajout des documents requis et l’indicateur de complétude.</w:t>
            </w:r>
          </w:p>
        </w:tc>
      </w:tr>
    </w:tbl>
    <w:p>
      <w:pPr>
        <w:spacing w:after="40"/>
      </w:pPr>
    </w:p>
    <w:p>
      <w:pPr>
        <w:pStyle w:val="Caption"/>
        <w:jc w:val="center"/>
      </w:pPr>
      <w:r>
        <w:rPr>
          <w:rFonts w:ascii="Calibri" w:hAnsi="Calibri"/>
          <w:i/>
          <w:color w:val="5B6573"/>
          <w:sz w:val="18"/>
        </w:rPr>
        <w:t>Capture 5.9 - Téléversement des pièces justificatives.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5.10</w:t>
            </w:r>
          </w:p>
          <w:p>
            <w:pPr>
              <w:jc w:val="center"/>
            </w:pPr>
            <w:r>
              <w:rPr>
                <w:rFonts w:ascii="Calibri" w:hAnsi="Calibri"/>
                <w:b/>
                <w:color w:val="202124"/>
                <w:sz w:val="24"/>
              </w:rPr>
              <w:t>Instruction bancaire et décision motivée</w:t>
            </w:r>
          </w:p>
          <w:p>
            <w:pPr>
              <w:jc w:val="center"/>
            </w:pPr>
            <w:r>
              <w:rPr>
                <w:rFonts w:ascii="Calibri" w:hAnsi="Calibri"/>
                <w:i/>
                <w:color w:val="5B6573"/>
                <w:sz w:val="18"/>
              </w:rPr>
              <w:t>Insérer la fiche de demande côté banque avec l’action accepter/refuser et le champ de motif.</w:t>
            </w:r>
          </w:p>
        </w:tc>
      </w:tr>
    </w:tbl>
    <w:p>
      <w:pPr>
        <w:spacing w:after="40"/>
      </w:pPr>
    </w:p>
    <w:p>
      <w:pPr>
        <w:pStyle w:val="Caption"/>
        <w:jc w:val="center"/>
      </w:pPr>
      <w:r>
        <w:rPr>
          <w:rFonts w:ascii="Calibri" w:hAnsi="Calibri"/>
          <w:i/>
          <w:color w:val="5B6573"/>
          <w:sz w:val="18"/>
        </w:rPr>
        <w:t>Capture 5.10 - Instruction bancaire et décision motivée.</w:t>
      </w:r>
    </w:p>
    <w:p>
      <w:pPr>
        <w:pStyle w:val="Heading2"/>
      </w:pPr>
      <w:r>
        <w:rPr>
          <w:rFonts w:ascii="Calibri" w:hAnsi="Calibri"/>
        </w:rPr>
        <w:t>5.6 Assistant IA d’analyse pour l’administrateur SaaS</w:t>
      </w:r>
    </w:p>
    <w:p>
      <w:r>
        <w:rPr>
          <w:rFonts w:ascii="Calibri" w:hAnsi="Calibri"/>
        </w:rPr>
        <w:t>L’assistant IA est réservé à l’administrateur SaaS et vise l’analyse du pilotage, par exemple le nombre de demandes en attente, les banques actives, les abonnements proches de l’expiration ou la répartition des stores. Il ne prend aucune décision métier, ne valide pas de financement et n’exécute aucune action de modification. L’utilisateur formule une question en français ; la réponse est limitée à une synthèse des données autorisées.</w:t>
      </w:r>
    </w:p>
    <w:p>
      <w:pPr>
        <w:spacing w:before="120" w:after="60"/>
        <w:jc w:val="center"/>
      </w:pPr>
      <w:r>
        <w:drawing>
          <wp:inline xmlns:a="http://schemas.openxmlformats.org/drawingml/2006/main" xmlns:pic="http://schemas.openxmlformats.org/drawingml/2006/picture">
            <wp:extent cx="2834640" cy="4441441"/>
            <wp:docPr id="23" name="Picture 23" descr="Figure 5.5 — Assistant IA SaaS : réponse à une question de pilotage sur les demandes en attente." title="Figure 5.5 — Assistant IA SaaS : réponse à une question de pilotage sur les demandes en attente."/>
            <wp:cNvGraphicFramePr>
              <a:graphicFrameLocks noChangeAspect="1"/>
            </wp:cNvGraphicFramePr>
            <a:graphic>
              <a:graphicData uri="http://schemas.openxmlformats.org/drawingml/2006/picture">
                <pic:pic>
                  <pic:nvPicPr>
                    <pic:cNvPr id="0" name="assistant .png"/>
                    <pic:cNvPicPr/>
                  </pic:nvPicPr>
                  <pic:blipFill>
                    <a:blip r:embed="rId27"/>
                    <a:stretch>
                      <a:fillRect/>
                    </a:stretch>
                  </pic:blipFill>
                  <pic:spPr>
                    <a:xfrm>
                      <a:off x="0" y="0"/>
                      <a:ext cx="2834640" cy="4441441"/>
                    </a:xfrm>
                    <a:prstGeom prst="rect"/>
                  </pic:spPr>
                </pic:pic>
              </a:graphicData>
            </a:graphic>
          </wp:inline>
        </w:drawing>
      </w:r>
    </w:p>
    <w:p>
      <w:pPr>
        <w:pStyle w:val="Caption"/>
        <w:jc w:val="center"/>
      </w:pPr>
      <w:r>
        <w:rPr>
          <w:rFonts w:ascii="Calibri" w:hAnsi="Calibri"/>
          <w:i/>
          <w:color w:val="5B6573"/>
          <w:sz w:val="18"/>
        </w:rPr>
        <w:t>Figure 5.5 — Assistant IA SaaS : réponse à une question de pilotage sur les demandes en attente.</w:t>
      </w:r>
    </w:p>
    <w:p>
      <w:pPr>
        <w:pStyle w:val="Heading3"/>
      </w:pPr>
      <w:r>
        <w:rPr>
          <w:rFonts w:ascii="Calibri" w:hAnsi="Calibri"/>
        </w:rPr>
        <w:t>5.6.1 Chaîne sécurisée de génération et d’exécution</w:t>
      </w:r>
    </w:p>
    <w:p>
      <w:r>
        <w:rPr>
          <w:rFonts w:ascii="Calibri" w:hAnsi="Calibri"/>
        </w:rPr>
        <w:t>La question est envoyée depuis le widget React vers le back-end. Le service IA prépare un schéma réduit à des tables, colonnes et relations autorisées avant l’appel au modèle Gemini. Le SQL proposé est ensuite validé de manière déterministe. Une requête conforme est exécutée en lecture seule sur PostgreSQL, avec une limite de lignes et un délai d’exécution ; les résultats sont reformulés pour l’utilisateur. Une requête invalide est rejetée avant tout accès à la base.</w:t>
      </w:r>
    </w:p>
    <w:p>
      <w:pPr>
        <w:spacing w:before="120" w:after="60"/>
        <w:jc w:val="center"/>
      </w:pPr>
      <w:r>
        <w:drawing>
          <wp:inline xmlns:a="http://schemas.openxmlformats.org/drawingml/2006/main" xmlns:pic="http://schemas.openxmlformats.org/drawingml/2006/picture">
            <wp:extent cx="5715000" cy="3175000"/>
            <wp:docPr id="24" name="Picture 24" descr="Figure 5.6 — Diagramme de séquence de l’assistant IA Text-to-SQL sécurisé." title="Figure 5.6 — Diagramme de séquence de l’assistant IA Text-to-SQL sécurisé."/>
            <wp:cNvGraphicFramePr>
              <a:graphicFrameLocks noChangeAspect="1"/>
            </wp:cNvGraphicFramePr>
            <a:graphic>
              <a:graphicData uri="http://schemas.openxmlformats.org/drawingml/2006/picture">
                <pic:pic>
                  <pic:nvPicPr>
                    <pic:cNvPr id="0" name="fig_5_5_ia_securisee.png"/>
                    <pic:cNvPicPr/>
                  </pic:nvPicPr>
                  <pic:blipFill>
                    <a:blip r:embed="rId32"/>
                    <a:stretch>
                      <a:fillRect/>
                    </a:stretch>
                  </pic:blipFill>
                  <pic:spPr>
                    <a:xfrm>
                      <a:off x="0" y="0"/>
                      <a:ext cx="5715000" cy="3175000"/>
                    </a:xfrm>
                    <a:prstGeom prst="rect"/>
                  </pic:spPr>
                </pic:pic>
              </a:graphicData>
            </a:graphic>
          </wp:inline>
        </w:drawing>
      </w:r>
    </w:p>
    <w:p>
      <w:pPr>
        <w:pStyle w:val="Caption"/>
        <w:jc w:val="center"/>
      </w:pPr>
      <w:r>
        <w:rPr>
          <w:rFonts w:ascii="Calibri" w:hAnsi="Calibri"/>
          <w:i/>
          <w:color w:val="5B6573"/>
          <w:sz w:val="18"/>
        </w:rPr>
        <w:t>Figure 5.6 — Diagramme de séquence de l’assistant IA Text-to-SQL sécurisé.</w:t>
      </w:r>
    </w:p>
    <w:p>
      <w:pPr>
        <w:pStyle w:val="Heading3"/>
      </w:pPr>
      <w:r>
        <w:rPr>
          <w:rFonts w:ascii="Calibri" w:hAnsi="Calibri"/>
        </w:rPr>
        <w:t>5.6.2 Contrôles de sécurité</w:t>
      </w:r>
    </w:p>
    <w:p>
      <w:pPr>
        <w:pStyle w:val="ListBullet"/>
      </w:pPr>
      <w:r>
        <w:rPr>
          <w:rFonts w:ascii="Calibri" w:hAnsi="Calibri"/>
        </w:rPr>
        <w:t>Seules les requêtes SELECT sans commentaires, DML, DDL, SELECT INTO, verrouillage ou instruction composée sont acceptées.</w:t>
      </w:r>
    </w:p>
    <w:p>
      <w:pPr>
        <w:pStyle w:val="ListBullet"/>
      </w:pPr>
      <w:r>
        <w:rPr>
          <w:rFonts w:ascii="Calibri" w:hAnsi="Calibri"/>
        </w:rPr>
        <w:t>La validation impose une liste blanche de tables, de colonnes, d’alias, de jointures et de fonctions autorisées ; SELECT * est refusé.</w:t>
      </w:r>
    </w:p>
    <w:p>
      <w:pPr>
        <w:pStyle w:val="ListBullet"/>
      </w:pPr>
      <w:r>
        <w:rPr>
          <w:rFonts w:ascii="Calibri" w:hAnsi="Calibri"/>
        </w:rPr>
        <w:t>Les données sensibles — mots de passe, jetons, secrets Stripe, identifiants de checkout, téléphone et données de réinitialisation — sont exclues du schéma proposé au modèle.</w:t>
      </w:r>
    </w:p>
    <w:p>
      <w:pPr>
        <w:pStyle w:val="ListBullet"/>
      </w:pPr>
      <w:r>
        <w:rPr>
          <w:rFonts w:ascii="Calibri" w:hAnsi="Calibri"/>
        </w:rPr>
        <w:t>La requête exécutée reçoit automatiquement une limite maximale de 50 lignes et un délai court, afin de préserver les performances de la plateforme.</w:t>
      </w:r>
    </w:p>
    <w:p>
      <w:pPr>
        <w:pStyle w:val="ListBullet"/>
      </w:pPr>
      <w:r>
        <w:rPr>
          <w:rFonts w:ascii="Calibri" w:hAnsi="Calibri"/>
        </w:rPr>
        <w:t>En production, le compte PostgreSQL dédié à cet usage doit être en lecture seule et ses identifiants doivent être fournis par un gestionnaire de secrets.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5.11</w:t>
            </w:r>
          </w:p>
          <w:p>
            <w:pPr>
              <w:jc w:val="center"/>
            </w:pPr>
            <w:r>
              <w:rPr>
                <w:rFonts w:ascii="Calibri" w:hAnsi="Calibri"/>
                <w:b/>
                <w:color w:val="202124"/>
                <w:sz w:val="24"/>
              </w:rPr>
              <w:t>Réponse valide et refus sécurisé de l’assistant IA</w:t>
            </w:r>
          </w:p>
          <w:p>
            <w:pPr>
              <w:jc w:val="center"/>
            </w:pPr>
            <w:r>
              <w:rPr>
                <w:rFonts w:ascii="Calibri" w:hAnsi="Calibri"/>
                <w:i/>
                <w:color w:val="5B6573"/>
                <w:sz w:val="18"/>
              </w:rPr>
              <w:t>Insérer une question de pilotage valide, puis un exemple de refus d’une requête non conforme, sans afficher de secret ni de token.</w:t>
            </w:r>
          </w:p>
        </w:tc>
      </w:tr>
    </w:tbl>
    <w:p>
      <w:pPr>
        <w:spacing w:after="40"/>
      </w:pPr>
    </w:p>
    <w:p>
      <w:pPr>
        <w:pStyle w:val="Caption"/>
        <w:jc w:val="center"/>
      </w:pPr>
      <w:r>
        <w:rPr>
          <w:rFonts w:ascii="Calibri" w:hAnsi="Calibri"/>
          <w:i/>
          <w:color w:val="5B6573"/>
          <w:sz w:val="18"/>
        </w:rPr>
        <w:t>Capture 5.11 - Réponse valide et refus sécurisé de l’assistant IA.</w:t>
      </w:r>
    </w:p>
    <w:p>
      <w:pPr>
        <w:pStyle w:val="Heading2"/>
      </w:pPr>
      <w:r>
        <w:rPr>
          <w:rFonts w:ascii="Calibri" w:hAnsi="Calibri"/>
        </w:rPr>
        <w:t>5.7 Conclusion</w:t>
      </w:r>
    </w:p>
    <w:p>
      <w:r>
        <w:rPr>
          <w:rFonts w:ascii="Calibri" w:hAnsi="Calibri"/>
        </w:rPr>
        <w:t>Les parcours réalisés répondent aux limites des marketplaces isolées : un concessionnaire centralise son activité et peut travailler avec plusieurs banques, chaque banque conserve ses décisions et ses contrats, et le stock est géré dans un point de référence unique. Le parcours de financement reste soumis au contrôle humain de la banque. Enfin, l’assistant IA enrichit le pilotage sans élargir les droits fonctionnels ni compromettre la sécurité des données.</w:t>
      </w:r>
    </w:p>
    <w:p>
      <w:r>
        <w:br w:type="page"/>
      </w:r>
    </w:p>
    <w:p>
      <w:pPr>
        <w:pStyle w:val="Heading1"/>
      </w:pPr>
      <w:r>
        <w:rPr>
          <w:rFonts w:ascii="Calibri" w:hAnsi="Calibri"/>
        </w:rPr>
        <w:t>Chapitre 6 — DevOps, pipeline CI/CD et déploiement</w:t>
      </w:r>
    </w:p>
    <w:p>
      <w:r>
        <w:rPr>
          <w:rFonts w:ascii="Calibri" w:hAnsi="Calibri"/>
        </w:rPr>
        <w:t>Ce chapitre présente les mécanismes qui rendent la livraison de Matchia reproductible : tests, analyse de qualité, conteneurisation, intégration continue, registry et déploiement. Il se fonde sur les Dockerfiles, les fichiers Docker Compose et le Jenkinsfile présents dans le projet.</w:t>
      </w:r>
    </w:p>
    <w:p>
      <w:pPr>
        <w:pStyle w:val="Heading2"/>
      </w:pPr>
      <w:r>
        <w:rPr>
          <w:rFonts w:ascii="Calibri" w:hAnsi="Calibri"/>
        </w:rPr>
        <w:t>6.1 Stratégie de qualité</w:t>
      </w:r>
    </w:p>
    <w:p>
      <w:r>
        <w:rPr>
          <w:rFonts w:ascii="Calibri" w:hAnsi="Calibri"/>
        </w:rPr>
        <w:t>Le frontend utilise Vitest et Testing Library ; le backend utilise les tests Spring/JUnit et la configuration Maven inclut JaCoCo. SonarQube est exécuté dans la chaîne Jenkins pour analyser le backend et le frontend. Ces contrôles sont complémentaires : les tests vérifient des comportements attendus, tandis que SonarQube détecte des problèmes de qualité et de maintenabilité.</w:t>
      </w:r>
    </w:p>
    <w:p>
      <w:pPr>
        <w:pStyle w:val="Heading2"/>
      </w:pPr>
      <w:r>
        <w:rPr>
          <w:rFonts w:ascii="Calibri" w:hAnsi="Calibri"/>
        </w:rPr>
        <w:t>6.2 Conteneurisation</w:t>
      </w:r>
    </w:p>
    <w:p>
      <w:r>
        <w:rPr>
          <w:rFonts w:ascii="Calibri" w:hAnsi="Calibri"/>
        </w:rPr>
        <w:t>Le projet contient un Dockerfile pour le backend et un Dockerfile pour le frontend. Docker Compose décrit deux services applicatifs : le backend expose le port 8081 et monte le répertoire des fichiers téléversés ; le frontend est servi par Nginx et dépend du backend. Les variables d’environnement portent notamment l’URL de l’API et les paramètres de connexion aux données.</w:t>
      </w:r>
    </w:p>
    <w:p>
      <w:r>
        <w:rPr>
          <w:rFonts w:ascii="Calibri" w:hAnsi="Calibri"/>
        </w:rPr>
        <w:t>La capture suivante illustre la configuration d’exécution conteneurisée utilisée pour la plateforme.</w:t>
      </w:r>
    </w:p>
    <w:p>
      <w:pPr>
        <w:spacing w:before="120" w:after="60"/>
        <w:jc w:val="center"/>
      </w:pPr>
      <w:r>
        <w:drawing>
          <wp:inline xmlns:a="http://schemas.openxmlformats.org/drawingml/2006/main" xmlns:pic="http://schemas.openxmlformats.org/drawingml/2006/picture">
            <wp:extent cx="5715000" cy="6004542"/>
            <wp:docPr id="25" name="Picture 25" descr="Figure 6.1 — Orchestration locale des services applicatifs avec Docker Compose." title="Figure 6.1 — Orchestration locale des services applicatifs avec Docker Compose."/>
            <wp:cNvGraphicFramePr>
              <a:graphicFrameLocks noChangeAspect="1"/>
            </wp:cNvGraphicFramePr>
            <a:graphic>
              <a:graphicData uri="http://schemas.openxmlformats.org/drawingml/2006/picture">
                <pic:pic>
                  <pic:nvPicPr>
                    <pic:cNvPr id="0" name="dockercompose.png"/>
                    <pic:cNvPicPr/>
                  </pic:nvPicPr>
                  <pic:blipFill>
                    <a:blip r:embed="rId33"/>
                    <a:stretch>
                      <a:fillRect/>
                    </a:stretch>
                  </pic:blipFill>
                  <pic:spPr>
                    <a:xfrm>
                      <a:off x="0" y="0"/>
                      <a:ext cx="5715000" cy="6004542"/>
                    </a:xfrm>
                    <a:prstGeom prst="rect"/>
                  </pic:spPr>
                </pic:pic>
              </a:graphicData>
            </a:graphic>
          </wp:inline>
        </w:drawing>
      </w:r>
    </w:p>
    <w:p>
      <w:pPr>
        <w:pStyle w:val="Caption"/>
        <w:jc w:val="center"/>
      </w:pPr>
      <w:r>
        <w:rPr>
          <w:rFonts w:ascii="Calibri" w:hAnsi="Calibri"/>
          <w:i/>
          <w:color w:val="5B6573"/>
          <w:sz w:val="18"/>
        </w:rPr>
        <w:t>Figure 6.1 — Orchestration locale des services applicatifs avec Docker Compose.</w:t>
      </w:r>
    </w:p>
    <w:p>
      <w:pPr>
        <w:pStyle w:val="Heading2"/>
      </w:pPr>
      <w:r>
        <w:rPr>
          <w:rFonts w:ascii="Calibri" w:hAnsi="Calibri"/>
        </w:rPr>
        <w:t>6.3 Pipeline Jenkins</w:t>
      </w:r>
    </w:p>
    <w:p>
      <w:r>
        <w:rPr>
          <w:rFonts w:ascii="Calibri" w:hAnsi="Calibri"/>
        </w:rPr>
        <w:t>Le Jenkinsfile est déclenché par un webhook GitHub. Il exécute successivement le checkout, le packaging backend, la construction frontend avec npm ci, les tests backend, l’analyse SonarQube backend et frontend, la construction des images Docker, leur publication sur Docker Hub puis la mise à jour des applications Azure. Les identifiants Docker Hub et Sonar sont injectés par le mécanisme de credentials Jenkins.</w:t>
      </w:r>
    </w:p>
    <w:p>
      <w:r>
        <w:rPr>
          <w:rFonts w:ascii="Calibri" w:hAnsi="Calibri"/>
        </w:rPr>
        <w:t>La figure suivante illustre l’environnement de configuration du pipeline d’intégration et de livraison continues.</w:t>
      </w:r>
    </w:p>
    <w:p>
      <w:pPr>
        <w:spacing w:before="120" w:after="60"/>
        <w:jc w:val="center"/>
      </w:pPr>
      <w:r>
        <w:drawing>
          <wp:inline xmlns:a="http://schemas.openxmlformats.org/drawingml/2006/main" xmlns:pic="http://schemas.openxmlformats.org/drawingml/2006/picture">
            <wp:extent cx="5715000" cy="2975055"/>
            <wp:docPr id="26" name="Picture 26" descr="Figure 6.2 — Configuration d’un pipeline Jenkins pour Matchia." title="Figure 6.2 — Configuration d’un pipeline Jenkins pour Matchia."/>
            <wp:cNvGraphicFramePr>
              <a:graphicFrameLocks noChangeAspect="1"/>
            </wp:cNvGraphicFramePr>
            <a:graphic>
              <a:graphicData uri="http://schemas.openxmlformats.org/drawingml/2006/picture">
                <pic:pic>
                  <pic:nvPicPr>
                    <pic:cNvPr id="0" name="CréationPipeline.png"/>
                    <pic:cNvPicPr/>
                  </pic:nvPicPr>
                  <pic:blipFill>
                    <a:blip r:embed="rId34"/>
                    <a:stretch>
                      <a:fillRect/>
                    </a:stretch>
                  </pic:blipFill>
                  <pic:spPr>
                    <a:xfrm>
                      <a:off x="0" y="0"/>
                      <a:ext cx="5715000" cy="2975055"/>
                    </a:xfrm>
                    <a:prstGeom prst="rect"/>
                  </pic:spPr>
                </pic:pic>
              </a:graphicData>
            </a:graphic>
          </wp:inline>
        </w:drawing>
      </w:r>
    </w:p>
    <w:p>
      <w:pPr>
        <w:pStyle w:val="Caption"/>
        <w:jc w:val="center"/>
      </w:pPr>
      <w:r>
        <w:rPr>
          <w:rFonts w:ascii="Calibri" w:hAnsi="Calibri"/>
          <w:i/>
          <w:color w:val="5B6573"/>
          <w:sz w:val="18"/>
        </w:rPr>
        <w:t>Figure 6.2 — Configuration d’un pipeline Jenkins pour Matchia.</w:t>
      </w:r>
    </w:p>
    <w:tbl>
      <w:tblPr>
        <w:tblStyle w:val="TableGrid"/>
        <w:tblW w:type="dxa" w:w="9360"/>
        <w:jc w:val="left"/>
        <w:tblLayout w:type="fixed"/>
        <w:tblLook w:firstColumn="1" w:firstRow="1" w:lastColumn="0" w:lastRow="0" w:noHBand="0" w:noVBand="1" w:val="04A0"/>
        <w:tblInd w:w="120" w:type="dxa"/>
      </w:tblPr>
      <w:tblGrid>
        <w:gridCol w:w="1600"/>
        <w:gridCol w:w="5000"/>
        <w:gridCol w:w="2760"/>
      </w:tblGrid>
      <w:tr>
        <w:trPr>
          <w:tblHeader w:val="true"/>
        </w:trPr>
        <w:tc>
          <w:tcPr>
            <w:tcW w:type="dxa" w:w="1600"/>
            <w:tcMar>
              <w:top w:w="80" w:type="dxa"/>
              <w:start w:w="120" w:type="dxa"/>
              <w:bottom w:w="80" w:type="dxa"/>
              <w:end w:w="120" w:type="dxa"/>
            </w:tcMar>
            <w:shd w:fill="F4F6F9"/>
          </w:tcPr>
          <w:p>
            <w:r>
              <w:rPr>
                <w:rFonts w:ascii="Calibri" w:hAnsi="Calibri"/>
                <w:b/>
                <w:color w:val="202124"/>
                <w:sz w:val="18"/>
              </w:rPr>
              <w:t>Étape</w:t>
            </w:r>
          </w:p>
        </w:tc>
        <w:tc>
          <w:tcPr>
            <w:tcW w:type="dxa" w:w="5000"/>
            <w:tcMar>
              <w:top w:w="80" w:type="dxa"/>
              <w:start w:w="120" w:type="dxa"/>
              <w:bottom w:w="80" w:type="dxa"/>
              <w:end w:w="120" w:type="dxa"/>
            </w:tcMar>
            <w:shd w:fill="F4F6F9"/>
          </w:tcPr>
          <w:p>
            <w:r>
              <w:rPr>
                <w:rFonts w:ascii="Calibri" w:hAnsi="Calibri"/>
                <w:b/>
                <w:color w:val="202124"/>
                <w:sz w:val="18"/>
              </w:rPr>
              <w:t>Contrôle / livrable</w:t>
            </w:r>
          </w:p>
        </w:tc>
        <w:tc>
          <w:tcPr>
            <w:tcW w:type="dxa" w:w="2760"/>
            <w:tcMar>
              <w:top w:w="80" w:type="dxa"/>
              <w:start w:w="120" w:type="dxa"/>
              <w:bottom w:w="80" w:type="dxa"/>
              <w:end w:w="120" w:type="dxa"/>
            </w:tcMar>
            <w:shd w:fill="F4F6F9"/>
          </w:tcPr>
          <w:p>
            <w:r>
              <w:rPr>
                <w:rFonts w:ascii="Calibri" w:hAnsi="Calibri"/>
                <w:b/>
                <w:color w:val="202124"/>
                <w:sz w:val="18"/>
              </w:rPr>
              <w:t>Résultat attendu</w:t>
            </w:r>
          </w:p>
        </w:tc>
      </w:tr>
      <w:tr>
        <w:tc>
          <w:tcPr>
            <w:tcW w:type="dxa" w:w="1600"/>
          </w:tcPr>
          <w:p>
            <w:r>
              <w:rPr>
                <w:rFonts w:ascii="Calibri" w:hAnsi="Calibri"/>
                <w:color w:val="202124"/>
                <w:sz w:val="18"/>
              </w:rPr>
              <w:t>Checkout</w:t>
            </w:r>
          </w:p>
        </w:tc>
        <w:tc>
          <w:tcPr>
            <w:tcW w:type="dxa" w:w="5000"/>
          </w:tcPr>
          <w:p>
            <w:r>
              <w:rPr>
                <w:rFonts w:ascii="Calibri" w:hAnsi="Calibri"/>
                <w:color w:val="202124"/>
                <w:sz w:val="18"/>
              </w:rPr>
              <w:t>Récupération du code depuis GitHub.</w:t>
            </w:r>
          </w:p>
        </w:tc>
        <w:tc>
          <w:tcPr>
            <w:tcW w:type="dxa" w:w="2760"/>
          </w:tcPr>
          <w:p>
            <w:r>
              <w:rPr>
                <w:rFonts w:ascii="Calibri" w:hAnsi="Calibri"/>
                <w:color w:val="202124"/>
                <w:sz w:val="18"/>
              </w:rPr>
              <w:t>Révision à construire disponible dans l’agent Jenkins.</w:t>
            </w:r>
          </w:p>
        </w:tc>
      </w:tr>
      <w:tr>
        <w:tc>
          <w:tcPr>
            <w:tcW w:type="dxa" w:w="1600"/>
          </w:tcPr>
          <w:p>
            <w:r>
              <w:rPr>
                <w:rFonts w:ascii="Calibri" w:hAnsi="Calibri"/>
                <w:color w:val="202124"/>
                <w:sz w:val="18"/>
              </w:rPr>
              <w:t>Build</w:t>
            </w:r>
          </w:p>
        </w:tc>
        <w:tc>
          <w:tcPr>
            <w:tcW w:type="dxa" w:w="5000"/>
          </w:tcPr>
          <w:p>
            <w:r>
              <w:rPr>
                <w:rFonts w:ascii="Calibri" w:hAnsi="Calibri"/>
                <w:color w:val="202124"/>
                <w:sz w:val="18"/>
              </w:rPr>
              <w:t>Maven package et npm ci / build.</w:t>
            </w:r>
          </w:p>
        </w:tc>
        <w:tc>
          <w:tcPr>
            <w:tcW w:type="dxa" w:w="2760"/>
          </w:tcPr>
          <w:p>
            <w:r>
              <w:rPr>
                <w:rFonts w:ascii="Calibri" w:hAnsi="Calibri"/>
                <w:color w:val="202124"/>
                <w:sz w:val="18"/>
              </w:rPr>
              <w:t>Artefact Spring Boot et SPA compilée.</w:t>
            </w:r>
          </w:p>
        </w:tc>
      </w:tr>
      <w:tr>
        <w:tc>
          <w:tcPr>
            <w:tcW w:type="dxa" w:w="1600"/>
          </w:tcPr>
          <w:p>
            <w:r>
              <w:rPr>
                <w:rFonts w:ascii="Calibri" w:hAnsi="Calibri"/>
                <w:color w:val="202124"/>
                <w:sz w:val="18"/>
              </w:rPr>
              <w:t>Tests / analyse</w:t>
            </w:r>
          </w:p>
        </w:tc>
        <w:tc>
          <w:tcPr>
            <w:tcW w:type="dxa" w:w="5000"/>
          </w:tcPr>
          <w:p>
            <w:r>
              <w:rPr>
                <w:rFonts w:ascii="Calibri" w:hAnsi="Calibri"/>
                <w:color w:val="202124"/>
                <w:sz w:val="18"/>
              </w:rPr>
              <w:t>Tests backend, JaCoCo et scans SonarQube.</w:t>
            </w:r>
          </w:p>
        </w:tc>
        <w:tc>
          <w:tcPr>
            <w:tcW w:type="dxa" w:w="2760"/>
          </w:tcPr>
          <w:p>
            <w:r>
              <w:rPr>
                <w:rFonts w:ascii="Calibri" w:hAnsi="Calibri"/>
                <w:color w:val="202124"/>
                <w:sz w:val="18"/>
              </w:rPr>
              <w:t>Détection précoce des régressions et problèmes de qualité.</w:t>
            </w:r>
          </w:p>
        </w:tc>
      </w:tr>
      <w:tr>
        <w:tc>
          <w:tcPr>
            <w:tcW w:type="dxa" w:w="1600"/>
          </w:tcPr>
          <w:p>
            <w:r>
              <w:rPr>
                <w:rFonts w:ascii="Calibri" w:hAnsi="Calibri"/>
                <w:color w:val="202124"/>
                <w:sz w:val="18"/>
              </w:rPr>
              <w:t>Images</w:t>
            </w:r>
          </w:p>
        </w:tc>
        <w:tc>
          <w:tcPr>
            <w:tcW w:type="dxa" w:w="5000"/>
          </w:tcPr>
          <w:p>
            <w:r>
              <w:rPr>
                <w:rFonts w:ascii="Calibri" w:hAnsi="Calibri"/>
                <w:color w:val="202124"/>
                <w:sz w:val="18"/>
              </w:rPr>
              <w:t>Docker build et tags latest + numéro de build.</w:t>
            </w:r>
          </w:p>
        </w:tc>
        <w:tc>
          <w:tcPr>
            <w:tcW w:type="dxa" w:w="2760"/>
          </w:tcPr>
          <w:p>
            <w:r>
              <w:rPr>
                <w:rFonts w:ascii="Calibri" w:hAnsi="Calibri"/>
                <w:color w:val="202124"/>
                <w:sz w:val="18"/>
              </w:rPr>
              <w:t>Images frontend et backend reproductibles.</w:t>
            </w:r>
          </w:p>
        </w:tc>
      </w:tr>
      <w:tr>
        <w:tc>
          <w:tcPr>
            <w:tcW w:type="dxa" w:w="1600"/>
          </w:tcPr>
          <w:p>
            <w:r>
              <w:rPr>
                <w:rFonts w:ascii="Calibri" w:hAnsi="Calibri"/>
                <w:color w:val="202124"/>
                <w:sz w:val="18"/>
              </w:rPr>
              <w:t>Registry</w:t>
            </w:r>
          </w:p>
        </w:tc>
        <w:tc>
          <w:tcPr>
            <w:tcW w:type="dxa" w:w="5000"/>
          </w:tcPr>
          <w:p>
            <w:r>
              <w:rPr>
                <w:rFonts w:ascii="Calibri" w:hAnsi="Calibri"/>
                <w:color w:val="202124"/>
                <w:sz w:val="18"/>
              </w:rPr>
              <w:t>Authentification credentialée puis Docker push.</w:t>
            </w:r>
          </w:p>
        </w:tc>
        <w:tc>
          <w:tcPr>
            <w:tcW w:type="dxa" w:w="2760"/>
          </w:tcPr>
          <w:p>
            <w:r>
              <w:rPr>
                <w:rFonts w:ascii="Calibri" w:hAnsi="Calibri"/>
                <w:color w:val="202124"/>
                <w:sz w:val="18"/>
              </w:rPr>
              <w:t>Images disponibles dans Docker Hub.</w:t>
            </w:r>
          </w:p>
        </w:tc>
      </w:tr>
      <w:tr>
        <w:tc>
          <w:tcPr>
            <w:tcW w:type="dxa" w:w="1600"/>
          </w:tcPr>
          <w:p>
            <w:r>
              <w:rPr>
                <w:rFonts w:ascii="Calibri" w:hAnsi="Calibri"/>
                <w:color w:val="202124"/>
                <w:sz w:val="18"/>
              </w:rPr>
              <w:t>Déploiement</w:t>
            </w:r>
          </w:p>
        </w:tc>
        <w:tc>
          <w:tcPr>
            <w:tcW w:type="dxa" w:w="5000"/>
          </w:tcPr>
          <w:p>
            <w:r>
              <w:rPr>
                <w:rFonts w:ascii="Calibri" w:hAnsi="Calibri"/>
                <w:color w:val="202124"/>
                <w:sz w:val="18"/>
              </w:rPr>
              <w:t>az containerapp update frontend et backend.</w:t>
            </w:r>
          </w:p>
        </w:tc>
        <w:tc>
          <w:tcPr>
            <w:tcW w:type="dxa" w:w="2760"/>
          </w:tcPr>
          <w:p>
            <w:r>
              <w:rPr>
                <w:rFonts w:ascii="Calibri" w:hAnsi="Calibri"/>
                <w:color w:val="202124"/>
                <w:sz w:val="18"/>
              </w:rPr>
              <w:t>Nouvelles révisions Azure Container Apps.</w:t>
            </w:r>
          </w:p>
        </w:tc>
      </w:tr>
    </w:tbl>
    <w:p>
      <w:pPr>
        <w:spacing w:after="60"/>
      </w:pPr>
    </w:p>
    <w:p>
      <w:pPr>
        <w:pStyle w:val="Heading2"/>
      </w:pPr>
      <w:r>
        <w:rPr>
          <w:rFonts w:ascii="Calibri" w:hAnsi="Calibri"/>
        </w:rPr>
        <w:t>6.4 Architecture de déploiement</w:t>
      </w:r>
    </w:p>
    <w:p>
      <w:r>
        <w:rPr>
          <w:rFonts w:ascii="Calibri" w:hAnsi="Calibri"/>
        </w:rPr>
        <w:t>Le diagramme suivant associe le flux de livraison aux composants réellement configurés dans le projet.</w:t>
      </w:r>
    </w:p>
    <w:p>
      <w:pPr>
        <w:spacing w:before="120" w:after="60"/>
        <w:jc w:val="center"/>
      </w:pPr>
      <w:r>
        <w:drawing>
          <wp:inline xmlns:a="http://schemas.openxmlformats.org/drawingml/2006/main" xmlns:pic="http://schemas.openxmlformats.org/drawingml/2006/picture">
            <wp:extent cx="5715000" cy="3016250"/>
            <wp:docPr id="27" name="Picture 27" descr="Figure 6.3 — Architecture de déploiement et pipeline CI/CD de Matchia." title="Figure 6.3 — Architecture de déploiement et pipeline CI/CD de Matchia."/>
            <wp:cNvGraphicFramePr>
              <a:graphicFrameLocks noChangeAspect="1"/>
            </wp:cNvGraphicFramePr>
            <a:graphic>
              <a:graphicData uri="http://schemas.openxmlformats.org/drawingml/2006/picture">
                <pic:pic>
                  <pic:nvPicPr>
                    <pic:cNvPr id="0" name="deploiement_cicd.png"/>
                    <pic:cNvPicPr/>
                  </pic:nvPicPr>
                  <pic:blipFill>
                    <a:blip r:embed="rId35"/>
                    <a:stretch>
                      <a:fillRect/>
                    </a:stretch>
                  </pic:blipFill>
                  <pic:spPr>
                    <a:xfrm>
                      <a:off x="0" y="0"/>
                      <a:ext cx="5715000" cy="3016250"/>
                    </a:xfrm>
                    <a:prstGeom prst="rect"/>
                  </pic:spPr>
                </pic:pic>
              </a:graphicData>
            </a:graphic>
          </wp:inline>
        </w:drawing>
      </w:r>
    </w:p>
    <w:p>
      <w:pPr>
        <w:pStyle w:val="Caption"/>
        <w:jc w:val="center"/>
      </w:pPr>
      <w:r>
        <w:rPr>
          <w:rFonts w:ascii="Calibri" w:hAnsi="Calibri"/>
          <w:i/>
          <w:color w:val="5B6573"/>
          <w:sz w:val="18"/>
        </w:rPr>
        <w:t>Figure 6.3 — Architecture de déploiement et pipeline CI/CD de Matchia.</w:t>
      </w:r>
    </w:p>
    <w:p>
      <w:r>
        <w:rPr>
          <w:rFonts w:ascii="Calibri" w:hAnsi="Calibri"/>
        </w:rPr>
        <w:t>Jenkins et son moteur Docker sont exécutables via un Docker Compose dédié. SonarQube est également isolé dans un Compose avec une base PostgreSQL spécifique. Les images produites sont consommées par Azure Container Apps pour le frontend et le backend. Le Jenkinsfile ne contient pas une étape explicite waitForQualityGate ; le Quality Gate doit donc être considéré comme un contrôle de gouvernance à renforcer, et non comme un verrou automatisé déjà implémenté.</w:t>
      </w:r>
    </w:p>
    <w:p>
      <w:r>
        <w:rPr>
          <w:rFonts w:ascii="Calibri" w:hAnsi="Calibri"/>
        </w:rPr>
        <w:t>Cette capture permet de documenter l’aboutissement d’une livraison du pipeline.</w:t>
      </w:r>
    </w:p>
    <w:p>
      <w:pPr>
        <w:spacing w:before="120" w:after="60"/>
        <w:jc w:val="center"/>
      </w:pPr>
      <w:r>
        <w:drawing>
          <wp:inline xmlns:a="http://schemas.openxmlformats.org/drawingml/2006/main" xmlns:pic="http://schemas.openxmlformats.org/drawingml/2006/picture">
            <wp:extent cx="5715000" cy="3322535"/>
            <wp:docPr id="28" name="Picture 28" descr="Figure 6.4 — Exemple de déploiement réussi de la plateforme." title="Figure 6.4 — Exemple de déploiement réussi de la plateforme."/>
            <wp:cNvGraphicFramePr>
              <a:graphicFrameLocks noChangeAspect="1"/>
            </wp:cNvGraphicFramePr>
            <a:graphic>
              <a:graphicData uri="http://schemas.openxmlformats.org/drawingml/2006/picture">
                <pic:pic>
                  <pic:nvPicPr>
                    <pic:cNvPr id="0" name="DéploiementRéussi.png"/>
                    <pic:cNvPicPr/>
                  </pic:nvPicPr>
                  <pic:blipFill>
                    <a:blip r:embed="rId36"/>
                    <a:stretch>
                      <a:fillRect/>
                    </a:stretch>
                  </pic:blipFill>
                  <pic:spPr>
                    <a:xfrm>
                      <a:off x="0" y="0"/>
                      <a:ext cx="5715000" cy="3322535"/>
                    </a:xfrm>
                    <a:prstGeom prst="rect"/>
                  </pic:spPr>
                </pic:pic>
              </a:graphicData>
            </a:graphic>
          </wp:inline>
        </w:drawing>
      </w:r>
    </w:p>
    <w:p>
      <w:pPr>
        <w:pStyle w:val="Caption"/>
        <w:jc w:val="center"/>
      </w:pPr>
      <w:r>
        <w:rPr>
          <w:rFonts w:ascii="Calibri" w:hAnsi="Calibri"/>
          <w:i/>
          <w:color w:val="5B6573"/>
          <w:sz w:val="18"/>
        </w:rPr>
        <w:t>Figure 6.4 — Exemple de déploiement réussi de la plateforme.</w:t>
      </w:r>
    </w:p>
    <w:p>
      <w:pPr>
        <w:pStyle w:val="Heading2"/>
      </w:pPr>
      <w:r>
        <w:rPr>
          <w:rFonts w:ascii="Calibri" w:hAnsi="Calibri"/>
        </w:rPr>
        <w:t>6.5 Sécurité d’exploitation et limites</w:t>
      </w:r>
    </w:p>
    <w:p>
      <w:pPr>
        <w:pStyle w:val="ListBullet"/>
      </w:pPr>
      <w:r>
        <w:rPr>
          <w:rFonts w:ascii="Calibri" w:hAnsi="Calibri"/>
        </w:rPr>
        <w:t>Les paramètres sensibles doivent être injectés sous forme de variables d’environnement ou de secrets gérés ; ils ne doivent pas être conservés dans le dépôt.</w:t>
      </w:r>
    </w:p>
    <w:p>
      <w:pPr>
        <w:pStyle w:val="ListBullet"/>
      </w:pPr>
      <w:r>
        <w:rPr>
          <w:rFonts w:ascii="Calibri" w:hAnsi="Calibri"/>
        </w:rPr>
        <w:t>Les volumes de fichiers téléversés nécessitent une stratégie de sauvegarde, de contrôle antivirus et de rétention pour une mise en production.</w:t>
      </w:r>
    </w:p>
    <w:p>
      <w:pPr>
        <w:pStyle w:val="ListBullet"/>
      </w:pPr>
      <w:r>
        <w:rPr>
          <w:rFonts w:ascii="Calibri" w:hAnsi="Calibri"/>
        </w:rPr>
        <w:t>Les logs, métriques, alertes et sauvegardes de la base doivent être complétés pour une exploitation à grande échelle.</w:t>
      </w:r>
    </w:p>
    <w:p>
      <w:pPr>
        <w:pStyle w:val="ListBullet"/>
      </w:pPr>
      <w:r>
        <w:rPr>
          <w:rFonts w:ascii="Calibri" w:hAnsi="Calibri"/>
        </w:rPr>
        <w:t>La séparation des environnements développement, recette et production doit être systématisée avant une mise en service bancaire.</w:t>
      </w:r>
    </w:p>
    <w:p>
      <w:pPr>
        <w:pStyle w:val="Heading2"/>
      </w:pPr>
      <w:r>
        <w:rPr>
          <w:rFonts w:ascii="Calibri" w:hAnsi="Calibri"/>
        </w:rPr>
        <w:t>6.6 Bilan et perspectives</w:t>
      </w:r>
    </w:p>
    <w:p>
      <w:r>
        <w:rPr>
          <w:rFonts w:ascii="Calibri" w:hAnsi="Calibri"/>
        </w:rPr>
        <w:t>Le projet met en œuvre une chaîne cohérente depuis le code jusqu’au déploiement : tests, analyse, conteneurs, registry et mise à jour cloud. Les prochaines évolutions portent sur l’automatisation effective du Quality Gate, les tests end-to-end, la gestion centralisée des secrets, l’observabilité, la sauvegarde et le renforcement de la conformité. Ces améliorations prolongeraient l’industrialisation sans modifier le modèle fonctionnel multi-tenant.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8"/>
      </w:rPr>
      <w:t>MATCHIA | RÉALISATION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PFE — Matchia</dc:title>
  <dc:subject>Plateforme SaaS multi-tenant de marketplaces bancaires et pipeline CI/CD</dc:subject>
  <dc:creator>Matchia</dc:creator>
  <cp:keywords/>
  <dc:description>generated by python-docx</dc:description>
  <cp:lastModifiedBy/>
  <cp:revision>1</cp:revision>
  <dcterms:created xsi:type="dcterms:W3CDTF">2013-12-23T23:15:00Z</dcterms:created>
  <dcterms:modified xsi:type="dcterms:W3CDTF">2013-12-23T23:15:00Z</dcterms:modified>
  <cp:category/>
</cp:coreProperties>
</file>