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259" w:lineRule="auto"/>
        <w:jc w:val="left"/>
      </w:pPr>
      <w:r>
        <w:rPr>
          <w:rFonts w:ascii="Aptos Display" w:hAnsi="Aptos Display"/>
          <w:b/>
          <w:color w:val="000000"/>
          <w:sz w:val="40"/>
        </w:rPr>
        <w:t>Authentification et contexte d accès</w:t>
      </w:r>
    </w:p>
    <w:p>
      <w:pPr>
        <w:pStyle w:val="Heading1"/>
        <w:spacing w:before="40" w:after="160" w:line="259" w:lineRule="auto"/>
      </w:pPr>
      <w:r>
        <w:rPr>
          <w:rFonts w:ascii="Aptos Display" w:hAnsi="Aptos Display"/>
          <w:b/>
          <w:color w:val="000000"/>
          <w:sz w:val="30"/>
        </w:rPr>
        <w:t>6.1 Cas d’utilisation détaillé : S’authentifier</w:t>
      </w:r>
    </w:p>
    <w:p>
      <w:pPr>
        <w:spacing w:before="0" w:after="200" w:line="276" w:lineRule="auto"/>
        <w:jc w:val="both"/>
      </w:pPr>
      <w:r>
        <w:rPr>
          <w:rFonts w:ascii="Aptos" w:hAnsi="Aptos"/>
          <w:color w:val="000000"/>
          <w:sz w:val="21"/>
        </w:rPr>
        <w:t>Ce cas d’utilisation décrit l’authentification commune aux différents rôles de la plateforme. Le système vérifie l’identité et l’état du compte, charge les autorisations puis, lorsque le rôle est rattaché à une banque ou à une marketplace, détermine le contexte du tenant avant de créer la session.</w:t>
      </w:r>
    </w:p>
    <w:p>
      <w:pPr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313583"/>
            <wp:docPr id="1" name="Picture 1" descr="Diagramme détaillé de l’authentification et du contexte d’accès Match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e_cas_utilisation_detaille_Authentification_Matchia_sans_legen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3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9" w:lineRule="auto"/>
        <w:jc w:val="center"/>
      </w:pPr>
      <w:r>
        <w:rPr>
          <w:rFonts w:ascii="Aptos" w:hAnsi="Aptos"/>
          <w:i/>
          <w:color w:val="3F4A4A"/>
          <w:sz w:val="18"/>
        </w:rPr>
        <w:t>Figure 3.5 — Diagramme de cas d’utilisation détaillé de l’authentification</w:t>
      </w:r>
    </w:p>
    <w:p>
      <w:r>
        <w:br w:type="page"/>
      </w:r>
    </w:p>
    <w:p>
      <w:pPr>
        <w:pStyle w:val="Heading2"/>
        <w:spacing w:before="0" w:after="140" w:line="259" w:lineRule="auto"/>
      </w:pPr>
      <w:r>
        <w:rPr>
          <w:rFonts w:ascii="Aptos Display" w:hAnsi="Aptos Display"/>
          <w:b/>
          <w:color w:val="000000"/>
          <w:sz w:val="25"/>
        </w:rPr>
        <w:t>Tableau 3.1 — Description du scénario UC-01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76"/>
        <w:gridCol w:w="7272"/>
      </w:tblGrid>
      <w:tr>
        <w:trPr>
          <w:tblHeader w:val="true"/>
        </w:trPr>
        <w:tc>
          <w:tcPr>
            <w:tcW w:type="dxa" w:w="2376"/>
            <w:shd w:fill="315B7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Élément</w:t>
            </w:r>
          </w:p>
        </w:tc>
        <w:tc>
          <w:tcPr>
            <w:tcW w:type="dxa" w:w="7272"/>
            <w:shd w:fill="315B7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376"/>
            <w:shd w:fill="EDF3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Cas d’utilisation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UC-01 — S’authentifier</w:t>
            </w:r>
          </w:p>
        </w:tc>
      </w:tr>
      <w:tr>
        <w:tc>
          <w:tcPr>
            <w:tcW w:type="dxa" w:w="2376"/>
            <w:shd w:fill="E3EDF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Acteur principal</w:t>
            </w:r>
          </w:p>
        </w:tc>
        <w:tc>
          <w:tcPr>
            <w:tcW w:type="dxa" w:w="7272"/>
            <w:shd w:fill="F7FAFC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Utilisateur</w:t>
            </w:r>
          </w:p>
        </w:tc>
      </w:tr>
      <w:tr>
        <w:tc>
          <w:tcPr>
            <w:tcW w:type="dxa" w:w="2376"/>
            <w:shd w:fill="EDF3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Rôles concernés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Administrateur SaaS, Administrateur Banque, Concessionnaire et Client.</w:t>
            </w:r>
          </w:p>
        </w:tc>
      </w:tr>
      <w:tr>
        <w:tc>
          <w:tcPr>
            <w:tcW w:type="dxa" w:w="2376"/>
            <w:shd w:fill="E3EDF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Acteur secondaire</w:t>
            </w:r>
          </w:p>
        </w:tc>
        <w:tc>
          <w:tcPr>
            <w:tcW w:type="dxa" w:w="7272"/>
            <w:shd w:fill="F7FAFC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Aucun acteur secondaire direct.</w:t>
            </w:r>
          </w:p>
        </w:tc>
      </w:tr>
      <w:tr>
        <w:tc>
          <w:tcPr>
            <w:tcW w:type="dxa" w:w="2376"/>
            <w:shd w:fill="EDF3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Objectif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Permettre à un utilisateur d’accéder à l’espace correspondant à son rôle, à ses autorisations et, le cas échéant, au tenant auquel il est rattaché.</w:t>
            </w:r>
          </w:p>
        </w:tc>
      </w:tr>
      <w:tr>
        <w:tc>
          <w:tcPr>
            <w:tcW w:type="dxa" w:w="2376"/>
            <w:shd w:fill="E3EDF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Préconditions</w:t>
            </w:r>
          </w:p>
        </w:tc>
        <w:tc>
          <w:tcPr>
            <w:tcW w:type="dxa" w:w="7272"/>
            <w:shd w:fill="F7FAFC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L’utilisateur possède un compte enregistré et accède au formulaire de connexion. Le système d’authentification est disponible.</w:t>
            </w:r>
          </w:p>
        </w:tc>
      </w:tr>
      <w:tr>
        <w:tc>
          <w:tcPr>
            <w:tcW w:type="dxa" w:w="2376"/>
            <w:shd w:fill="EDF3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Déclencheur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L’utilisateur saisit ses identifiants et soumet le formulaire de connexion.</w:t>
            </w:r>
          </w:p>
        </w:tc>
      </w:tr>
      <w:tr>
        <w:tc>
          <w:tcPr>
            <w:tcW w:type="dxa" w:w="2376"/>
            <w:shd w:fill="E3EDF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Postconditions en cas de succès</w:t>
            </w:r>
          </w:p>
        </w:tc>
        <w:tc>
          <w:tcPr>
            <w:tcW w:type="dxa" w:w="7272"/>
            <w:shd w:fill="F7FAFC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Une session authentifiée est créée. Le rôle, les autorisations et, si nécessaire, le contexte du tenant sont associés à la session. L’utilisateur est redirigé vers l’espace approprié.</w:t>
            </w:r>
          </w:p>
        </w:tc>
      </w:tr>
      <w:tr>
        <w:tc>
          <w:tcPr>
            <w:tcW w:type="dxa" w:w="2376"/>
            <w:shd w:fill="EDF3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Postconditions en cas d’échec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Aucune session valide n’est créée ou conservée. L’accès à la ressource demandée est refusé et un message adapté est affiché.</w:t>
            </w:r>
          </w:p>
        </w:tc>
      </w:tr>
      <w:tr>
        <w:tc>
          <w:tcPr>
            <w:tcW w:type="dxa" w:w="2376"/>
            <w:shd w:fill="E3EDF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Scénario nominal</w:t>
            </w:r>
          </w:p>
        </w:tc>
        <w:tc>
          <w:tcPr>
            <w:tcW w:type="dxa" w:w="7272"/>
            <w:shd w:fill="F7FA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/>
            <w:r>
              <w:rPr>
                <w:rFonts w:ascii="Aptos" w:hAnsi="Aptos"/>
                <w:color w:val="000000"/>
                <w:sz w:val="20"/>
              </w:rPr>
              <w:t>1. L’utilisateur accède au formulaire de connexion.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2. Il saisit son adresse e-mail et son mot de passe.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3. Il soumet le formulaire de connexion.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4. Le système vérifie les identifiants fournis.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5. Le système vérifie que le compte est actif.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6. Le système récupère le rôle et contrôle les autorisations de l’utilisateur.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7. Si l’utilisateur est rattaché à une banque ou à une marketplace, le système détermine le contexte du tenant correspondant.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8. Le système crée une session authentifiée et y associe le rôle, les autorisations et le contexte d’accès.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color w:val="000000"/>
                <w:sz w:val="20"/>
              </w:rPr>
              <w:t>9. L’utilisateur est redirigé vers l’espace correspondant à son rôle.</w:t>
            </w:r>
          </w:p>
        </w:tc>
      </w:tr>
      <w:tr>
        <w:tc>
          <w:tcPr>
            <w:tcW w:type="dxa" w:w="2376"/>
            <w:shd w:fill="EDF3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ptos" w:hAnsi="Aptos"/>
                <w:b/>
                <w:color w:val="1F2933"/>
                <w:sz w:val="20"/>
              </w:rPr>
              <w:t>Alternatives et exceptions</w:t>
            </w:r>
          </w:p>
        </w:tc>
        <w:tc>
          <w:tcPr>
            <w:tcW w:type="dxa" w:w="72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80" w:line="259" w:lineRule="auto"/>
            </w:pPr>
            <w:r/>
            <w:r>
              <w:rPr>
                <w:rFonts w:ascii="Aptos" w:hAnsi="Aptos"/>
                <w:color w:val="000000"/>
                <w:sz w:val="20"/>
              </w:rPr>
              <w:t>• A1 — Identifiants incorrects : à l’étape 4, le système refuse l’authentification et affiche un message d’erreur.</w:t>
            </w:r>
          </w:p>
          <w:p>
            <w:pPr>
              <w:spacing w:before="0" w:after="80" w:line="259" w:lineRule="auto"/>
            </w:pPr>
            <w:r>
              <w:rPr>
                <w:rFonts w:ascii="Aptos" w:hAnsi="Aptos"/>
                <w:color w:val="000000"/>
                <w:sz w:val="20"/>
              </w:rPr>
              <w:t>• A2 — Compte inactif : à l’étape 5, le système refuse l’authentification et indique que le compte ne permet pas l’accès.</w:t>
            </w:r>
          </w:p>
          <w:p>
            <w:pPr>
              <w:spacing w:before="0" w:after="80" w:line="259" w:lineRule="auto"/>
            </w:pPr>
            <w:r>
              <w:rPr>
                <w:rFonts w:ascii="Aptos" w:hAnsi="Aptos"/>
                <w:color w:val="000000"/>
                <w:sz w:val="20"/>
              </w:rPr>
              <w:t>• A3 — Contexte du tenant invalide : à l’étape 7, si aucun tenant autorisé ne correspond au rôle ou si l’utilisateur tente d’accéder à un autre tenant, le système refuse l’accès.</w:t>
            </w:r>
          </w:p>
          <w:p>
            <w:pPr>
              <w:spacing w:before="0" w:after="80" w:line="259" w:lineRule="auto"/>
            </w:pPr>
            <w:r>
              <w:rPr>
                <w:rFonts w:ascii="Aptos" w:hAnsi="Aptos"/>
                <w:color w:val="000000"/>
                <w:sz w:val="20"/>
              </w:rPr>
              <w:t>• A4 — Session ou jeton expiré : le système invalide la session et demande à l’utilisateur de la renouveler ou de se reconnecter.</w:t>
            </w:r>
          </w:p>
          <w:p>
            <w:pPr>
              <w:spacing w:before="0" w:after="80" w:line="259" w:lineRule="auto"/>
            </w:pPr>
            <w:r>
              <w:rPr>
                <w:rFonts w:ascii="Aptos" w:hAnsi="Aptos"/>
                <w:color w:val="000000"/>
                <w:sz w:val="20"/>
              </w:rPr>
              <w:t>• A5 — Ressource non autorisée : toute tentative d’accès à une fonctionnalité extérieure au périmètre du rôle est refusée.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Authentification et contexte d’accès</dc:title>
  <dc:subject>UC-01 S’authentifier</dc:subject>
  <dc:creator/>
  <cp:keywords>UML, authentification, multi-tenant, Matchia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