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IIIème</w:t>
      </w:r>
      <w:r>
        <w:t xml:space="preserve"> </w:t>
      </w:r>
      <w:r>
        <w:t xml:space="preserve">workshop</w:t>
      </w:r>
      <w:r>
        <w:t xml:space="preserve"> </w:t>
      </w:r>
      <w:r>
        <w:t xml:space="preserve">du</w:t>
      </w:r>
      <w:r>
        <w:t xml:space="preserve"> </w:t>
      </w:r>
      <w:r>
        <w:t xml:space="preserve">laboratoire</w:t>
      </w:r>
      <w:r>
        <w:t xml:space="preserve"> </w:t>
      </w:r>
      <w:r>
        <w:t xml:space="preserve">BIOMOLIM</w:t>
      </w:r>
      <w:r>
        <w:t xml:space="preserve"> </w:t>
      </w:r>
      <w:r>
        <w:t xml:space="preserve">-</w:t>
      </w:r>
      <w:r>
        <w:t xml:space="preserve"> </w:t>
      </w:r>
      <w:r>
        <w:t xml:space="preserve">Immunoinformatique</w:t>
      </w:r>
      <w:r>
        <w:t xml:space="preserve"> </w:t>
      </w:r>
      <w:r>
        <w:t xml:space="preserve">-</w:t>
      </w:r>
      <w:r>
        <w:t xml:space="preserve"> </w:t>
      </w:r>
      <w:r>
        <w:t xml:space="preserve">Analyse</w:t>
      </w:r>
      <w:r>
        <w:t xml:space="preserve"> </w:t>
      </w:r>
      <w:r>
        <w:t xml:space="preserve">du</w:t>
      </w:r>
      <w:r>
        <w:t xml:space="preserve"> </w:t>
      </w:r>
      <w:r>
        <w:t xml:space="preserve">transcriptome</w:t>
      </w:r>
      <w:r>
        <w:t xml:space="preserve"> </w:t>
      </w:r>
      <w:r>
        <w:t xml:space="preserve">par</w:t>
      </w:r>
      <w:r>
        <w:t xml:space="preserve"> </w:t>
      </w:r>
      <w:r>
        <w:t xml:space="preserve">approches</w:t>
      </w:r>
      <w:r>
        <w:t xml:space="preserve"> </w:t>
      </w:r>
      <w:r>
        <w:t xml:space="preserve">haut-débit.</w:t>
      </w:r>
    </w:p>
    <w:p>
      <w:pPr>
        <w:pStyle w:val="Author"/>
      </w:pPr>
      <w:r>
        <w:t xml:space="preserve">null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mai</w:t>
      </w:r>
      <w:r>
        <w:t xml:space="preserve"> </w:t>
      </w:r>
      <w:r>
        <w:t xml:space="preserve">au</w:t>
      </w:r>
      <w:r>
        <w:t xml:space="preserve"> </w:t>
      </w:r>
      <w:r>
        <w:t xml:space="preserve">2</w:t>
      </w:r>
      <w:r>
        <w:t xml:space="preserve"> </w:t>
      </w:r>
      <w:r>
        <w:t xml:space="preserve">juin</w:t>
      </w:r>
      <w:r>
        <w:t xml:space="preserve"> </w:t>
      </w:r>
      <w:r>
        <w:t xml:space="preserve">-</w:t>
      </w:r>
      <w:r>
        <w:t xml:space="preserve"> </w:t>
      </w:r>
      <w:r>
        <w:t xml:space="preserve">Auditorium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faculté</w:t>
      </w:r>
      <w:r>
        <w:t xml:space="preserve"> </w:t>
      </w:r>
      <w:r>
        <w:t xml:space="preserve">SNV-TU</w:t>
      </w:r>
      <w:r>
        <w:t xml:space="preserve"> </w:t>
      </w:r>
      <w:r>
        <w:t xml:space="preserve">-</w:t>
      </w:r>
      <w:r>
        <w:t xml:space="preserve"> </w:t>
      </w:r>
      <w:r>
        <w:t xml:space="preserve">Algérie.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       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Heading2"/>
      </w:pPr>
      <w:bookmarkStart w:id="21" w:name="comite-dorganisation"/>
      <w:bookmarkEnd w:id="21"/>
      <w:r>
        <w:t xml:space="preserve">Comité d'organisation</w:t>
      </w:r>
    </w:p>
    <w:p>
      <w:pPr>
        <w:pStyle w:val="Compact"/>
        <w:numPr>
          <w:numId w:val="1001"/>
          <w:ilvl w:val="0"/>
        </w:numPr>
      </w:pPr>
      <w:r>
        <w:t xml:space="preserve">S. Spicuglia &amp; Mourad Aribi.</w:t>
      </w:r>
    </w:p>
    <w:p>
      <w:pPr>
        <w:pStyle w:val="Heading2"/>
      </w:pPr>
      <w:bookmarkStart w:id="22" w:name="equipe-pedagogique"/>
      <w:bookmarkEnd w:id="22"/>
      <w:r>
        <w:t xml:space="preserve">Equipe pédagogique</w:t>
      </w:r>
    </w:p>
    <w:p>
      <w:pPr>
        <w:pStyle w:val="Compact"/>
        <w:numPr>
          <w:numId w:val="1002"/>
          <w:ilvl w:val="0"/>
        </w:numPr>
      </w:pPr>
      <w:r>
        <w:t xml:space="preserve">Eve-Lyne Mathieu</w:t>
      </w:r>
    </w:p>
    <w:p>
      <w:pPr>
        <w:pStyle w:val="Compact"/>
        <w:numPr>
          <w:numId w:val="1002"/>
          <w:ilvl w:val="0"/>
        </w:numPr>
      </w:pPr>
      <w:r>
        <w:t xml:space="preserve">Yasmina Kermezli</w:t>
      </w:r>
    </w:p>
    <w:p>
      <w:pPr>
        <w:pStyle w:val="Compact"/>
        <w:numPr>
          <w:numId w:val="1002"/>
          <w:ilvl w:val="0"/>
        </w:numPr>
      </w:pPr>
      <w:r>
        <w:t xml:space="preserve">Denis Puthier</w:t>
      </w:r>
    </w:p>
    <w:p>
      <w:pPr>
        <w:pStyle w:val="Compact"/>
        <w:numPr>
          <w:numId w:val="1002"/>
          <w:ilvl w:val="0"/>
        </w:numPr>
      </w:pPr>
      <w:r>
        <w:t xml:space="preserve">Mohamed Belhocine</w:t>
      </w:r>
    </w:p>
    <w:p>
      <w:pPr>
        <w:pStyle w:val="Compact"/>
        <w:numPr>
          <w:numId w:val="1002"/>
          <w:ilvl w:val="0"/>
        </w:numPr>
      </w:pPr>
      <w:r>
        <w:t xml:space="preserve">Wiam Saadi</w:t>
      </w:r>
    </w:p>
    <w:p>
      <w:pPr>
        <w:pStyle w:val="Compact"/>
        <w:numPr>
          <w:numId w:val="1002"/>
          <w:ilvl w:val="0"/>
        </w:numPr>
      </w:pPr>
      <w:r>
        <w:t xml:space="preserve">Lynda Klouche</w:t>
      </w:r>
    </w:p>
    <w:p>
      <w:pPr>
        <w:pStyle w:val="Compact"/>
        <w:numPr>
          <w:numId w:val="1002"/>
          <w:ilvl w:val="0"/>
        </w:numPr>
      </w:pPr>
      <w:r>
        <w:t xml:space="preserve">Djamel Smahi</w:t>
      </w:r>
    </w:p>
    <w:p>
      <w:pPr>
        <w:pStyle w:val="Compact"/>
        <w:numPr>
          <w:numId w:val="1002"/>
          <w:ilvl w:val="0"/>
        </w:numPr>
      </w:pPr>
      <w:r>
        <w:t xml:space="preserve">Warda Meziane</w:t>
      </w:r>
    </w:p>
    <w:p>
      <w:pPr>
        <w:pStyle w:val="Compact"/>
        <w:numPr>
          <w:numId w:val="1002"/>
          <w:ilvl w:val="0"/>
        </w:numPr>
      </w:pPr>
      <w:r>
        <w:t xml:space="preserve">Zeyneb Hadjidj</w:t>
      </w:r>
    </w:p>
    <w:p>
      <w:pPr>
        <w:pStyle w:val="Compact"/>
        <w:numPr>
          <w:numId w:val="1002"/>
          <w:ilvl w:val="0"/>
        </w:numPr>
      </w:pPr>
      <w:r>
        <w:t xml:space="preserve">Zineb Mekkaoui</w:t>
      </w:r>
    </w:p>
    <w:p>
      <w:pPr>
        <w:pStyle w:val="Compact"/>
        <w:numPr>
          <w:numId w:val="1002"/>
          <w:ilvl w:val="0"/>
        </w:numPr>
      </w:pPr>
      <w:r>
        <w:t xml:space="preserve">Sana Boualitabet Helal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objectifs"/>
      <w:bookmarkEnd w:id="23"/>
      <w:r>
        <w:t xml:space="preserve">Objectifs</w:t>
      </w:r>
    </w:p>
    <w:p>
      <w:pPr>
        <w:pStyle w:val="FirstParagraph"/>
      </w:pPr>
      <w:r>
        <w:t xml:space="preserve">Maîtriser les aspects bioinformatiques et expérimentaux de l'analyse du transcriptome à grande échelle.</w:t>
      </w:r>
    </w:p>
    <w:p>
      <w:pPr>
        <w:pStyle w:val="Compact"/>
        <w:numPr>
          <w:numId w:val="1003"/>
          <w:ilvl w:val="0"/>
        </w:numPr>
      </w:pPr>
      <w:r>
        <w:t xml:space="preserve">Stimulation d'une lignée lymphocytaire T par traitement PMA/Ionomycine.</w:t>
      </w:r>
    </w:p>
    <w:p>
      <w:pPr>
        <w:pStyle w:val="Compact"/>
        <w:numPr>
          <w:numId w:val="1003"/>
          <w:ilvl w:val="0"/>
        </w:numPr>
      </w:pPr>
      <w:r>
        <w:t xml:space="preserve">Analyse bioinformatique de données RNA-seq.</w:t>
      </w:r>
    </w:p>
    <w:p>
      <w:pPr>
        <w:pStyle w:val="Compact"/>
        <w:numPr>
          <w:numId w:val="1003"/>
          <w:ilvl w:val="0"/>
        </w:numPr>
      </w:pPr>
      <w:r>
        <w:t xml:space="preserve">Validation expérimentale par la technique de RT-PCR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gramme"/>
      <w:bookmarkEnd w:id="24"/>
      <w:r>
        <w:t xml:space="preserve">Programme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Après-midi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Dimanche</w:t>
            </w:r>
          </w:p>
        </w:tc>
        <w:tc>
          <w:p>
            <w:pPr>
              <w:pStyle w:val="Compact"/>
              <w:jc w:val="left"/>
            </w:pPr>
            <w:r>
              <w:t xml:space="preserve">Présentation du workshop et Introduction générale</w:t>
            </w:r>
          </w:p>
        </w:tc>
        <w:tc>
          <w:p>
            <w:pPr>
              <w:pStyle w:val="Compact"/>
              <w:jc w:val="left"/>
            </w:pPr>
            <w:r>
              <w:t xml:space="preserve">Traitement des données RNA-Seq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Lundi</w:t>
            </w:r>
          </w:p>
        </w:tc>
        <w:tc>
          <w:p>
            <w:pPr>
              <w:pStyle w:val="Compact"/>
              <w:jc w:val="left"/>
            </w:pPr>
            <w:r>
              <w:t xml:space="preserve">Régulation épigénétique en conditions physiologiques et pathologiques</w:t>
            </w:r>
          </w:p>
        </w:tc>
        <w:tc>
          <w:p>
            <w:pPr>
              <w:pStyle w:val="Compact"/>
              <w:jc w:val="left"/>
            </w:pPr>
            <w:r>
              <w:t xml:space="preserve">Identification de gènes différentiellement exprimés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Mardi</w:t>
            </w:r>
          </w:p>
        </w:tc>
        <w:tc>
          <w:p>
            <w:pPr>
              <w:pStyle w:val="Compact"/>
              <w:jc w:val="left"/>
            </w:pPr>
            <w:r>
              <w:t xml:space="preserve">Les LncRNAs: rôles régulateurs dans le système immunitaire</w:t>
            </w:r>
          </w:p>
        </w:tc>
        <w:tc>
          <w:p>
            <w:pPr>
              <w:pStyle w:val="Compact"/>
              <w:jc w:val="left"/>
            </w:pPr>
            <w:r>
              <w:t xml:space="preserve">Etudes des voies de régulation affectées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Mercredi</w:t>
            </w:r>
          </w:p>
        </w:tc>
        <w:tc>
          <w:p>
            <w:pPr>
              <w:pStyle w:val="Compact"/>
              <w:jc w:val="left"/>
            </w:pPr>
            <w:r>
              <w:t xml:space="preserve">Préparation des cDNAs</w:t>
            </w:r>
          </w:p>
        </w:tc>
        <w:tc>
          <w:p>
            <w:pPr>
              <w:pStyle w:val="Compact"/>
              <w:jc w:val="left"/>
            </w:pPr>
            <w:r>
              <w:t xml:space="preserve">Etude de l'expression des gènes par PCR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Jeudi</w:t>
            </w:r>
          </w:p>
        </w:tc>
        <w:tc>
          <w:p>
            <w:pPr>
              <w:pStyle w:val="Compact"/>
              <w:jc w:val="left"/>
            </w:pPr>
            <w:r>
              <w:t xml:space="preserve">Analyse de résultats PCR par électrophorèse sur gel.</w:t>
            </w:r>
          </w:p>
        </w:tc>
        <w:tc>
          <w:p>
            <w:pPr>
              <w:pStyle w:val="Compact"/>
              <w:jc w:val="left"/>
            </w:pPr>
            <w:r>
              <w:t xml:space="preserve">Présentation des résultats. Conclusions.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cours-theoriques"/>
      <w:bookmarkEnd w:id="25"/>
      <w:r>
        <w:t xml:space="preserve">Cours théoriques</w:t>
      </w:r>
    </w:p>
    <w:p>
      <w:pPr>
        <w:pStyle w:val="FirstParagraph"/>
      </w:pPr>
      <w:r>
        <w:t xml:space="preserve">Vous trouverez ci-dessous les présentations des différents intervenants.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Présentation de D. Puthier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Applications. Traitement des données RNA-Seq.</w:t>
            </w: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Présentation de S. Spicuglia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Régulation épigénétique</w:t>
            </w: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Analyse statistique du transcriptome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Premiers éléments d'analyse statistique du transcriptome: (1) rappels des notions d'échantillonnage; (2) tests de comparaison de moyenne; (3) clustering. Sur base de biopuces, mais les TP incluront également quelques touches d'analyse de RNA-seq.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hases-pratiques"/>
      <w:bookmarkEnd w:id="28"/>
      <w:r>
        <w:t xml:space="preserve">Phases pratiques</w:t>
      </w:r>
    </w:p>
    <w:p>
      <w:pPr>
        <w:pStyle w:val="FirstParagraph"/>
      </w:pPr>
      <w:r>
        <w:t xml:space="preserve">Vous trouverez ci-dessous des liens vers du matériel pédagogique utilisé dans le cadre des phases pratiques.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Concepts traités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Outils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Tutoriel RNA-Seq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Traitement de données RNA-Seq</w:t>
            </w:r>
          </w:p>
        </w:tc>
        <w:tc>
          <w:p>
            <w:pPr>
              <w:pStyle w:val="Compact"/>
              <w:jc w:val="left"/>
            </w:pPr>
            <w:r>
              <w:t xml:space="preserve">Galaxy server, TopHat, FastQC, cufflinks, cuffmerge, IGV, samtool flagstat, UCSC genome Browser, UCSC table Browser, UCSC FTP web site, Ensembl gene search, R...</w:t>
            </w:r>
          </w:p>
        </w:tc>
      </w:tr>
      <w:tr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 quick tour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Opérations de base avec R (réalisée sous forme de démo durant les TP)</w:t>
            </w:r>
          </w:p>
        </w:tc>
        <w:tc>
          <w:p>
            <w:pPr>
              <w:pStyle w:val="Compact"/>
              <w:jc w:val="left"/>
            </w:pPr>
            <w:r>
              <w:t xml:space="preserve">R, RStudio</w:t>
            </w:r>
          </w:p>
        </w:tc>
      </w:tr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Transcriptome microarrays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Analyse des données de biopuces; détection de gènes exprimés de façon différentielles (DEG) entre sous-types de cancers.</w:t>
            </w:r>
          </w:p>
        </w:tc>
        <w:tc>
          <w:p>
            <w:pPr>
              <w:pStyle w:val="Compact"/>
              <w:jc w:val="left"/>
            </w:pPr>
            <w:r>
              <w:t xml:space="preserve">R, RStudio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ressources"/>
      <w:bookmarkEnd w:id="32"/>
      <w:r>
        <w:t xml:space="preserve">Ressources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 web d'Illumina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https://www.illumina.com/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 nombreuses vidéo de présentation des technologies.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 web d'Oxford Nanopore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https://www.nanoporetech.com/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Présentation du MiION et des ses applications.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fichiers-de-donnees"/>
      <w:bookmarkEnd w:id="35"/>
      <w:r>
        <w:t xml:space="preserve">Fichiers de données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2940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b03e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" TargetMode="External" /><Relationship Type="http://schemas.openxmlformats.org/officeDocument/2006/relationships/hyperlink" Id="rId33" Target="https://www.illumina.com/" TargetMode="External" /><Relationship Type="http://schemas.openxmlformats.org/officeDocument/2006/relationships/hyperlink" Id="rId34" Target="https://www.nanoporetech.com/" TargetMode="External" /><Relationship Type="http://schemas.openxmlformats.org/officeDocument/2006/relationships/hyperlink" Id="rId30" Target="practical/R_first_steps/quick_tour.html" TargetMode="External" /><Relationship Type="http://schemas.openxmlformats.org/officeDocument/2006/relationships/hyperlink" Id="rId31" Target="practical/microarrays/denboer_data/" TargetMode="External" /><Relationship Type="http://schemas.openxmlformats.org/officeDocument/2006/relationships/hyperlink" Id="rId29" Target="practical/rna_seq_galaxy/rnaseq_td_galaxy.html" TargetMode="External" /><Relationship Type="http://schemas.openxmlformats.org/officeDocument/2006/relationships/hyperlink" Id="rId26" Target="slides/rna-seq_2015-polytech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33" Target="https://www.illumina.com/" TargetMode="External" /><Relationship Type="http://schemas.openxmlformats.org/officeDocument/2006/relationships/hyperlink" Id="rId34" Target="https://www.nanoporetech.com/" TargetMode="External" /><Relationship Type="http://schemas.openxmlformats.org/officeDocument/2006/relationships/hyperlink" Id="rId30" Target="practical/R_first_steps/quick_tour.html" TargetMode="External" /><Relationship Type="http://schemas.openxmlformats.org/officeDocument/2006/relationships/hyperlink" Id="rId31" Target="practical/microarrays/denboer_data/" TargetMode="External" /><Relationship Type="http://schemas.openxmlformats.org/officeDocument/2006/relationships/hyperlink" Id="rId29" Target="practical/rna_seq_galaxy/rnaseq_td_galaxy.html" TargetMode="External" /><Relationship Type="http://schemas.openxmlformats.org/officeDocument/2006/relationships/hyperlink" Id="rId26" Target="slides/rna-seq_2015-polytec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IIIème workshop du laboratoire BIOMOLIM - Immunoinformatique - Analyse du transcriptome par approches haut-débit.</dc:title>
  <dc:creator>null</dc:creator>
</cp:coreProperties>
</file>