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IIIème</w:t>
      </w:r>
      <w:r>
        <w:t xml:space="preserve"> </w:t>
      </w:r>
      <w:r>
        <w:t xml:space="preserve">workshop</w:t>
      </w:r>
      <w:r>
        <w:t xml:space="preserve"> </w:t>
      </w:r>
      <w:r>
        <w:t xml:space="preserve">du</w:t>
      </w:r>
      <w:r>
        <w:t xml:space="preserve"> </w:t>
      </w:r>
      <w:r>
        <w:t xml:space="preserve">laboratoire</w:t>
      </w:r>
      <w:r>
        <w:t xml:space="preserve"> </w:t>
      </w:r>
      <w:r>
        <w:t xml:space="preserve">BIOMOLIM</w:t>
      </w:r>
      <w:r>
        <w:t xml:space="preserve"> </w:t>
      </w:r>
      <w:r>
        <w:t xml:space="preserve">-</w:t>
      </w:r>
      <w:r>
        <w:t xml:space="preserve"> </w:t>
      </w:r>
      <w:r>
        <w:t xml:space="preserve">Immunoinformatique</w:t>
      </w:r>
      <w:r>
        <w:t xml:space="preserve"> </w:t>
      </w:r>
      <w:r>
        <w:t xml:space="preserve">-</w:t>
      </w:r>
      <w:r>
        <w:t xml:space="preserve"> </w:t>
      </w:r>
      <w:r>
        <w:t xml:space="preserve">Analyse</w:t>
      </w:r>
      <w:r>
        <w:t xml:space="preserve"> </w:t>
      </w:r>
      <w:r>
        <w:t xml:space="preserve">du</w:t>
      </w:r>
      <w:r>
        <w:t xml:space="preserve"> </w:t>
      </w:r>
      <w:r>
        <w:t xml:space="preserve">transcriptome</w:t>
      </w:r>
      <w:r>
        <w:t xml:space="preserve"> </w:t>
      </w:r>
      <w:r>
        <w:t xml:space="preserve">par</w:t>
      </w:r>
      <w:r>
        <w:t xml:space="preserve"> </w:t>
      </w:r>
      <w:r>
        <w:t xml:space="preserve">approches</w:t>
      </w:r>
      <w:r>
        <w:t xml:space="preserve"> </w:t>
      </w:r>
      <w:r>
        <w:t xml:space="preserve">haut-débit.</w:t>
      </w:r>
    </w:p>
    <w:p>
      <w:pPr>
        <w:pStyle w:val="Author"/>
      </w:pPr>
      <w:r>
        <w:t xml:space="preserve">null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mai</w:t>
      </w:r>
      <w:r>
        <w:t xml:space="preserve"> </w:t>
      </w:r>
      <w:r>
        <w:t xml:space="preserve">au</w:t>
      </w:r>
      <w:r>
        <w:t xml:space="preserve"> </w:t>
      </w:r>
      <w:r>
        <w:t xml:space="preserve">2</w:t>
      </w:r>
      <w:r>
        <w:t xml:space="preserve"> </w:t>
      </w:r>
      <w:r>
        <w:t xml:space="preserve">juin</w:t>
      </w:r>
      <w:r>
        <w:t xml:space="preserve"> </w:t>
      </w:r>
      <w:r>
        <w:t xml:space="preserve">-</w:t>
      </w:r>
      <w:r>
        <w:t xml:space="preserve"> </w:t>
      </w:r>
      <w:r>
        <w:t xml:space="preserve">Auditorium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faculté</w:t>
      </w:r>
      <w:r>
        <w:t xml:space="preserve"> </w:t>
      </w:r>
      <w:r>
        <w:t xml:space="preserve">SNV-TU</w:t>
      </w:r>
      <w:r>
        <w:t xml:space="preserve"> </w:t>
      </w:r>
      <w:r>
        <w:t xml:space="preserve">-</w:t>
      </w:r>
      <w:r>
        <w:t xml:space="preserve"> </w:t>
      </w:r>
      <w:r>
        <w:t xml:space="preserve">Algérie.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tbl>
      <w:tblPr>
        <w:tblStyle w:val="TableNormal"/>
        <w:tblW w:type="pct" w:w="2916.666666666667"/>
        <w:tblLook/>
      </w:tblPr>
      <w:tblGrid>
        <w:gridCol w:w="1980"/>
        <w:gridCol w:w="330"/>
        <w:gridCol w:w="2310"/>
      </w:tblGrid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       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Heading2"/>
      </w:pPr>
      <w:bookmarkStart w:id="21" w:name="organisateurs"/>
      <w:bookmarkEnd w:id="21"/>
      <w:r>
        <w:t xml:space="preserve">Organisateurs</w:t>
      </w:r>
    </w:p>
    <w:p>
      <w:pPr>
        <w:numPr>
          <w:numId w:val="1001"/>
          <w:ilvl w:val="0"/>
        </w:numPr>
      </w:pPr>
      <w:r>
        <w:t xml:space="preserve">Dr. Salvatore SPICUGLIA</w:t>
      </w:r>
    </w:p>
    <w:p>
      <w:pPr>
        <w:numPr>
          <w:numId w:val="1001"/>
          <w:ilvl w:val="0"/>
        </w:numPr>
      </w:pPr>
      <w:r>
        <w:t xml:space="preserve">Pr. Mourad ARIBI</w:t>
      </w:r>
    </w:p>
    <w:p>
      <w:pPr>
        <w:pStyle w:val="Heading2"/>
      </w:pPr>
      <w:bookmarkStart w:id="22" w:name="equipe-pedagogique"/>
      <w:bookmarkEnd w:id="22"/>
      <w:r>
        <w:t xml:space="preserve">Equipe pédagogique</w:t>
      </w:r>
    </w:p>
    <w:p>
      <w:pPr>
        <w:pStyle w:val="Compact"/>
        <w:numPr>
          <w:numId w:val="1002"/>
          <w:ilvl w:val="0"/>
        </w:numPr>
      </w:pPr>
      <w:r>
        <w:t xml:space="preserve">Salvatore Spicuglia (Chercheur Inserm, TAGC, Marseille)</w:t>
      </w:r>
    </w:p>
    <w:p>
      <w:pPr>
        <w:pStyle w:val="Compact"/>
        <w:numPr>
          <w:numId w:val="1002"/>
          <w:ilvl w:val="0"/>
        </w:numPr>
      </w:pPr>
      <w:r>
        <w:t xml:space="preserve">Denis Puthier (Maitre de Conférences Aix-Marseille Université, TAGC, Marseille)</w:t>
      </w:r>
    </w:p>
    <w:p>
      <w:pPr>
        <w:pStyle w:val="Compact"/>
        <w:numPr>
          <w:numId w:val="1002"/>
          <w:ilvl w:val="0"/>
        </w:numPr>
      </w:pPr>
      <w:r>
        <w:t xml:space="preserve">Eve-Lyne Mathieu (Ingénieur de Recherche Inserm, TAGC, Marseille)</w:t>
      </w:r>
    </w:p>
    <w:p>
      <w:pPr>
        <w:pStyle w:val="Compact"/>
        <w:numPr>
          <w:numId w:val="1002"/>
          <w:ilvl w:val="0"/>
        </w:numPr>
      </w:pPr>
      <w:r>
        <w:t xml:space="preserve">Mohamed Belhocine (doctorant, Aix-Marseille Université, TAGC, Marseille)</w:t>
      </w:r>
    </w:p>
    <w:p>
      <w:pPr>
        <w:pStyle w:val="Compact"/>
        <w:numPr>
          <w:numId w:val="1002"/>
          <w:ilvl w:val="0"/>
        </w:numPr>
      </w:pPr>
      <w:r>
        <w:t xml:space="preserve">Yasmina Kermezli (doctorante, Université de Tlemcen)</w:t>
      </w:r>
    </w:p>
    <w:p>
      <w:pPr>
        <w:pStyle w:val="Compact"/>
        <w:numPr>
          <w:numId w:val="1002"/>
          <w:ilvl w:val="0"/>
        </w:numPr>
      </w:pPr>
      <w:r>
        <w:t xml:space="preserve">Wiam Saadi (doctorante, Université de Tlemcen)</w:t>
      </w:r>
    </w:p>
    <w:p>
      <w:pPr>
        <w:pStyle w:val="Compact"/>
        <w:numPr>
          <w:numId w:val="1002"/>
          <w:ilvl w:val="0"/>
        </w:numPr>
      </w:pPr>
      <w:r>
        <w:t xml:space="preserve">Lynda Klouche</w:t>
      </w:r>
    </w:p>
    <w:p>
      <w:pPr>
        <w:pStyle w:val="Compact"/>
        <w:numPr>
          <w:numId w:val="1002"/>
          <w:ilvl w:val="0"/>
        </w:numPr>
      </w:pPr>
      <w:r>
        <w:t xml:space="preserve">Djamel Smahi</w:t>
      </w:r>
    </w:p>
    <w:p>
      <w:pPr>
        <w:pStyle w:val="Compact"/>
        <w:numPr>
          <w:numId w:val="1002"/>
          <w:ilvl w:val="0"/>
        </w:numPr>
      </w:pPr>
      <w:r>
        <w:t xml:space="preserve">Warda Meziane</w:t>
      </w:r>
    </w:p>
    <w:p>
      <w:pPr>
        <w:pStyle w:val="Compact"/>
        <w:numPr>
          <w:numId w:val="1002"/>
          <w:ilvl w:val="0"/>
        </w:numPr>
      </w:pPr>
      <w:r>
        <w:t xml:space="preserve">Zeyneb Hadjidj</w:t>
      </w:r>
    </w:p>
    <w:p>
      <w:pPr>
        <w:pStyle w:val="Compact"/>
        <w:numPr>
          <w:numId w:val="1002"/>
          <w:ilvl w:val="0"/>
        </w:numPr>
      </w:pPr>
      <w:r>
        <w:t xml:space="preserve">Zineb Mekkaoui</w:t>
      </w:r>
    </w:p>
    <w:p>
      <w:pPr>
        <w:pStyle w:val="Compact"/>
        <w:numPr>
          <w:numId w:val="1002"/>
          <w:ilvl w:val="0"/>
        </w:numPr>
      </w:pPr>
      <w:r>
        <w:t xml:space="preserve">Sana Boualitabet Helal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objectifs"/>
      <w:bookmarkEnd w:id="23"/>
      <w:r>
        <w:t xml:space="preserve">Objectifs</w:t>
      </w:r>
    </w:p>
    <w:p>
      <w:pPr>
        <w:pStyle w:val="FirstParagraph"/>
      </w:pPr>
      <w:r>
        <w:t xml:space="preserve">Maîtriser les aspects bioinformatiques et expérimentaux de l'analyse du transcriptome à grande échelle.</w:t>
      </w:r>
    </w:p>
    <w:p>
      <w:pPr>
        <w:pStyle w:val="Compact"/>
        <w:numPr>
          <w:numId w:val="1003"/>
          <w:ilvl w:val="0"/>
        </w:numPr>
      </w:pPr>
      <w:r>
        <w:t xml:space="preserve">Stimulation d'une lignée lymphocytaire T par traitement PMA/Ionomycine.</w:t>
      </w:r>
    </w:p>
    <w:p>
      <w:pPr>
        <w:pStyle w:val="Compact"/>
        <w:numPr>
          <w:numId w:val="1003"/>
          <w:ilvl w:val="0"/>
        </w:numPr>
      </w:pPr>
      <w:r>
        <w:t xml:space="preserve">Analyse bioinformatique des données RNA-seq produites.</w:t>
      </w:r>
    </w:p>
    <w:p>
      <w:pPr>
        <w:pStyle w:val="Compact"/>
        <w:numPr>
          <w:numId w:val="1003"/>
          <w:ilvl w:val="0"/>
        </w:numPr>
      </w:pPr>
      <w:r>
        <w:t xml:space="preserve">Validation expérimentale par RT-PCR.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site-web"/>
      <w:bookmarkEnd w:id="24"/>
      <w:r>
        <w:t xml:space="preserve">Site Web</w:t>
      </w:r>
    </w:p>
    <w:p>
      <w:pPr>
        <w:pStyle w:val="FirstParagraph"/>
      </w:pPr>
      <w:r>
        <w:t xml:space="preserve">Le site web du workshop est disponible sur github à l'adresse suivante:</w:t>
      </w:r>
    </w:p>
    <w:p>
      <w:pPr>
        <w:pStyle w:val="Compact"/>
        <w:numPr>
          <w:numId w:val="1004"/>
          <w:ilvl w:val="0"/>
        </w:numPr>
      </w:pPr>
      <w:hyperlink r:id="rId25">
        <w:r>
          <w:rPr>
            <w:rStyle w:val="Hyperlink"/>
          </w:rPr>
          <w:t xml:space="preserve">http://yasminekzl.github.io/Tlemcen_workshop_2016/index.html</w:t>
        </w:r>
      </w:hyperlink>
    </w:p>
    <w:p>
      <w:pPr>
        <w:pStyle w:val="Heading2"/>
      </w:pPr>
      <w:bookmarkStart w:id="26" w:name="programme"/>
      <w:bookmarkEnd w:id="26"/>
      <w:r>
        <w:t xml:space="preserve">Programme</w:t>
      </w:r>
    </w:p>
    <w:p>
      <w:pPr>
        <w:pStyle w:val="FirstParagraph"/>
      </w:pPr>
      <w:r>
        <w:t xml:space="preserve">Vous trouverez ci-dessous le programme des enseignements. Ils auront lieu chaque jour jusqu'à 18h.</w:t>
      </w:r>
    </w:p>
    <w:p>
      <w:pPr>
        <w:pStyle w:val="BodyText"/>
      </w:pPr>
      <w:r>
        <w:rPr>
          <w:b/>
        </w:rPr>
        <w:t xml:space="preserve">Dimanche 29 Mai</w:t>
      </w:r>
    </w:p>
    <w:tbl>
      <w:tblPr>
        <w:tblStyle w:val="TableNormal"/>
        <w:tblW w:type="pct" w:w="694.4444444444445"/>
        <w:tblLook w:firstRow="1"/>
      </w:tblPr>
      <w:tblGrid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Horaire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9h00</w:t>
            </w:r>
          </w:p>
        </w:tc>
        <w:tc>
          <w:p>
            <w:pPr>
              <w:pStyle w:val="Compact"/>
              <w:jc w:val="left"/>
            </w:pPr>
            <w:r>
              <w:t xml:space="preserve">Mots d'ouverture (Pr. Mourad)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9h20</w:t>
            </w:r>
          </w:p>
        </w:tc>
        <w:tc>
          <w:p>
            <w:pPr>
              <w:pStyle w:val="Compact"/>
              <w:jc w:val="left"/>
            </w:pPr>
            <w:r>
              <w:t xml:space="preserve">Présentation du workshop et introduction générale (Spicuglia/Mathieu/Puthier)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10h30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10h45</w:t>
            </w:r>
          </w:p>
        </w:tc>
        <w:tc>
          <w:p>
            <w:pPr>
              <w:pStyle w:val="Compact"/>
              <w:jc w:val="left"/>
            </w:pPr>
            <w:r>
              <w:t xml:space="preserve">Introduction à l'étude de l'ARN et les techniques associées (Spicuglia/Puthier)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12h00</w:t>
            </w:r>
          </w:p>
        </w:tc>
        <w:tc>
          <w:p>
            <w:pPr>
              <w:pStyle w:val="Compact"/>
              <w:jc w:val="left"/>
            </w:pPr>
            <w:r>
              <w:t xml:space="preserve">Déjeuner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13h30</w:t>
            </w:r>
          </w:p>
        </w:tc>
        <w:tc>
          <w:p>
            <w:pPr>
              <w:pStyle w:val="Compact"/>
              <w:jc w:val="left"/>
            </w:pPr>
            <w:r>
              <w:t xml:space="preserve">Traitement de données RNA-seq I (Puthier/Belhocine/Kermezli)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15h15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15h30</w:t>
            </w:r>
          </w:p>
        </w:tc>
        <w:tc>
          <w:p>
            <w:pPr>
              <w:pStyle w:val="Compact"/>
              <w:jc w:val="left"/>
            </w:pPr>
            <w:r>
              <w:t xml:space="preserve">Traitement de données RNA-seq II (Puthier/Belhocine/Kermezli)</w:t>
            </w:r>
          </w:p>
        </w:tc>
      </w:tr>
    </w:tbl>
    <w:p>
      <w:pPr>
        <w:pStyle w:val="BodyText"/>
      </w:pPr>
      <w:r>
        <w:rPr>
          <w:b/>
        </w:rPr>
        <w:t xml:space="preserve">Lundi 30 Mai</w:t>
      </w:r>
    </w:p>
    <w:tbl>
      <w:tblPr>
        <w:tblStyle w:val="TableNormal"/>
        <w:tblW w:type="pct" w:w="694.4444444444445"/>
        <w:tblLook w:firstRow="1"/>
      </w:tblPr>
      <w:tblGrid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Horaire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9h00</w:t>
            </w:r>
          </w:p>
        </w:tc>
        <w:tc>
          <w:p>
            <w:pPr>
              <w:pStyle w:val="Compact"/>
              <w:jc w:val="left"/>
            </w:pPr>
            <w:r>
              <w:t xml:space="preserve">Cours théorique sur la régulation épigénétique au cours du développement et des maladies (Spicuglia)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10h30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10h45</w:t>
            </w:r>
          </w:p>
        </w:tc>
        <w:tc>
          <w:p>
            <w:pPr>
              <w:pStyle w:val="Compact"/>
              <w:jc w:val="left"/>
            </w:pPr>
            <w:r>
              <w:t xml:space="preserve">Quantification de l'expression de gènes (Puthier/Belhocine/Kermezli)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12h00</w:t>
            </w:r>
          </w:p>
        </w:tc>
        <w:tc>
          <w:p>
            <w:pPr>
              <w:pStyle w:val="Compact"/>
              <w:jc w:val="left"/>
            </w:pPr>
            <w:r>
              <w:t xml:space="preserve">Déjeuner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13h30</w:t>
            </w:r>
          </w:p>
        </w:tc>
        <w:tc>
          <w:p>
            <w:pPr>
              <w:pStyle w:val="Compact"/>
              <w:jc w:val="left"/>
            </w:pPr>
            <w:r>
              <w:t xml:space="preserve">Identification de gènes différentiellement exprimés I (Puthier/Belhocine/Kermezli)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15h15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15h30</w:t>
            </w:r>
          </w:p>
        </w:tc>
        <w:tc>
          <w:p>
            <w:pPr>
              <w:pStyle w:val="Compact"/>
              <w:jc w:val="left"/>
            </w:pPr>
            <w:r>
              <w:t xml:space="preserve">Visualisation des données RNA-seq (Puthier/Belhocine/Kermezli).</w:t>
            </w:r>
          </w:p>
        </w:tc>
      </w:tr>
    </w:tbl>
    <w:p>
      <w:pPr>
        <w:pStyle w:val="BodyText"/>
      </w:pPr>
      <w:r>
        <w:rPr>
          <w:b/>
        </w:rPr>
        <w:t xml:space="preserve">Mardi 31 Mai</w:t>
      </w:r>
    </w:p>
    <w:tbl>
      <w:tblPr>
        <w:tblStyle w:val="TableNormal"/>
        <w:tblW w:type="pct" w:w="694.4444444444445"/>
        <w:tblLook w:firstRow="1"/>
      </w:tblPr>
      <w:tblGrid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Horaire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9h00</w:t>
            </w:r>
          </w:p>
        </w:tc>
        <w:tc>
          <w:p>
            <w:pPr>
              <w:pStyle w:val="Compact"/>
              <w:jc w:val="left"/>
            </w:pPr>
            <w:r>
              <w:t xml:space="preserve">Cours théorique. LncRNAs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10h30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10h45</w:t>
            </w:r>
          </w:p>
        </w:tc>
        <w:tc>
          <w:p>
            <w:pPr>
              <w:pStyle w:val="Compact"/>
              <w:jc w:val="left"/>
            </w:pPr>
            <w:r>
              <w:t xml:space="preserve">Préparation du cDNA (Mathieu/Saadi)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12h00</w:t>
            </w:r>
          </w:p>
        </w:tc>
        <w:tc>
          <w:p>
            <w:pPr>
              <w:pStyle w:val="Compact"/>
              <w:jc w:val="left"/>
            </w:pPr>
            <w:r>
              <w:t xml:space="preserve">Déjeuner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13h30</w:t>
            </w:r>
          </w:p>
        </w:tc>
        <w:tc>
          <w:p>
            <w:pPr>
              <w:pStyle w:val="Compact"/>
              <w:jc w:val="left"/>
            </w:pPr>
            <w:r>
              <w:t xml:space="preserve">Etude de l'expression des gènes par PCR (Mathieu/Saadi)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15h15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15h30</w:t>
            </w:r>
          </w:p>
        </w:tc>
      </w:tr>
    </w:tbl>
    <w:p>
      <w:pPr>
        <w:pStyle w:val="BodyText"/>
      </w:pPr>
      <w:r>
        <w:rPr>
          <w:b/>
        </w:rPr>
        <w:t xml:space="preserve">Mercredi 01 juin</w:t>
      </w:r>
    </w:p>
    <w:tbl>
      <w:tblPr>
        <w:tblStyle w:val="TableNormal"/>
        <w:tblW w:type="pct" w:w="694.4444444444445"/>
        <w:tblLook w:firstRow="1"/>
      </w:tblPr>
      <w:tblGrid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Horaire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9h00</w:t>
            </w:r>
          </w:p>
        </w:tc>
        <w:tc>
          <w:p>
            <w:pPr>
              <w:pStyle w:val="Compact"/>
              <w:jc w:val="left"/>
            </w:pPr>
            <w:r>
              <w:t xml:space="preserve">Analyse de résultats de PCR par électrophorèse sur gel d'agarose (Mathieu/Saadi)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10h30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10h45</w:t>
            </w:r>
          </w:p>
        </w:tc>
        <w:tc>
          <w:p>
            <w:pPr>
              <w:pStyle w:val="Compact"/>
              <w:jc w:val="left"/>
            </w:pPr>
            <w:r>
              <w:t xml:space="preserve">Révélation de résultats (Mathieu/Saadi)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12h00</w:t>
            </w:r>
          </w:p>
        </w:tc>
        <w:tc>
          <w:p>
            <w:pPr>
              <w:pStyle w:val="Compact"/>
              <w:jc w:val="left"/>
            </w:pPr>
            <w:r>
              <w:t xml:space="preserve">Déjeuner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13h30</w:t>
            </w:r>
          </w:p>
        </w:tc>
        <w:tc>
          <w:p>
            <w:pPr>
              <w:pStyle w:val="Compact"/>
              <w:jc w:val="left"/>
            </w:pPr>
            <w:r>
              <w:t xml:space="preserve">Interprétation des résultats de PCR (Mathieu/Saadi)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15h15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15h30</w:t>
            </w:r>
          </w:p>
        </w:tc>
        <w:tc>
          <w:p>
            <w:pPr>
              <w:pStyle w:val="Compact"/>
              <w:jc w:val="left"/>
            </w:pPr>
            <w:r>
              <w:t xml:space="preserve">Etude des Voies de régulation affectées (Puthier/Belhocine/Kermezli)</w:t>
            </w:r>
          </w:p>
        </w:tc>
      </w:tr>
    </w:tbl>
    <w:p>
      <w:pPr>
        <w:pStyle w:val="BodyText"/>
      </w:pPr>
      <w:r>
        <w:rPr>
          <w:b/>
        </w:rPr>
        <w:t xml:space="preserve">Jeudi 02 Juin</w:t>
      </w:r>
    </w:p>
    <w:tbl>
      <w:tblPr>
        <w:tblStyle w:val="TableNormal"/>
        <w:tblW w:type="pct" w:w="694.4444444444445"/>
        <w:tblLook w:firstRow="1"/>
      </w:tblPr>
      <w:tblGrid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Horaire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9h00</w:t>
            </w:r>
          </w:p>
        </w:tc>
        <w:tc>
          <w:p>
            <w:pPr>
              <w:pStyle w:val="Compact"/>
              <w:jc w:val="left"/>
            </w:pPr>
            <w:r>
              <w:t xml:space="preserve">Etude des Voies de régulation affectées (Puthier/Belhocine/Kermezli)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10h30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10h45</w:t>
            </w:r>
          </w:p>
        </w:tc>
        <w:tc>
          <w:p>
            <w:pPr>
              <w:pStyle w:val="Compact"/>
              <w:jc w:val="left"/>
            </w:pPr>
            <w:r>
              <w:t xml:space="preserve">Rédaction d'un rapport synthétique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12h00</w:t>
            </w:r>
          </w:p>
        </w:tc>
        <w:tc>
          <w:p>
            <w:pPr>
              <w:pStyle w:val="Compact"/>
              <w:jc w:val="left"/>
            </w:pPr>
            <w:r>
              <w:t xml:space="preserve">Déjeuner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13h30</w:t>
            </w:r>
          </w:p>
        </w:tc>
        <w:tc>
          <w:p>
            <w:pPr>
              <w:pStyle w:val="Compact"/>
              <w:jc w:val="left"/>
            </w:pPr>
            <w:r>
              <w:t xml:space="preserve">Discussion ouverte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15h15</w:t>
            </w:r>
          </w:p>
        </w:tc>
        <w:tc>
          <w:p>
            <w:pPr>
              <w:pStyle w:val="Compact"/>
              <w:jc w:val="left"/>
            </w:pPr>
            <w:r>
              <w:t xml:space="preserve">Pause café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15h30</w:t>
            </w:r>
          </w:p>
        </w:tc>
        <w:tc>
          <w:p>
            <w:pPr>
              <w:pStyle w:val="Compact"/>
              <w:jc w:val="left"/>
            </w:pPr>
            <w:r>
              <w:t xml:space="preserve">Conclusions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20h00</w:t>
            </w:r>
          </w:p>
        </w:tc>
        <w:tc>
          <w:p>
            <w:pPr>
              <w:pStyle w:val="Compact"/>
              <w:jc w:val="left"/>
            </w:pPr>
            <w:r>
              <w:t xml:space="preserve">Diner de clôture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cours-theoriques"/>
      <w:bookmarkEnd w:id="27"/>
      <w:r>
        <w:t xml:space="preserve">Cours théoriques</w:t>
      </w:r>
    </w:p>
    <w:p>
      <w:pPr>
        <w:pStyle w:val="FirstParagraph"/>
      </w:pPr>
      <w:r>
        <w:t xml:space="preserve">Les présentations des intervenants sont disponibles sur le site web du worshop.</w:t>
      </w:r>
    </w:p>
    <w:p>
      <w:pPr>
        <w:pStyle w:val="BodyText"/>
      </w:pPr>
      <w:r>
        <w:t xml:space="preserve">| Nom | Description</w:t>
      </w:r>
      <w:r>
        <w:br w:type="textWrapping"/>
      </w:r>
      <w:r>
        <w:t xml:space="preserve">|-----|------------------------------------------------------ |</w:t>
      </w:r>
      <w:r>
        <w:t xml:space="preserve"> </w:t>
      </w:r>
      <w:hyperlink r:id="rId28">
        <w:r>
          <w:rPr>
            <w:rStyle w:val="Hyperlink"/>
          </w:rPr>
          <w:t xml:space="preserve">Présentation de D. Puthier</w:t>
        </w:r>
      </w:hyperlink>
      <w:r>
        <w:t xml:space="preserve">| Le monde des ARNS. Traitement des données RNA-Seq. |</w:t>
      </w:r>
      <w:r>
        <w:t xml:space="preserve"> </w:t>
      </w:r>
      <w:hyperlink r:id="rId29">
        <w:r>
          <w:rPr>
            <w:rStyle w:val="Hyperlink"/>
          </w:rPr>
          <w:t xml:space="preserve">Présentation de S. Spicuglia</w:t>
        </w:r>
      </w:hyperlink>
      <w:r>
        <w:t xml:space="preserve"> </w:t>
      </w:r>
      <w:r>
        <w:t xml:space="preserve">| Régulation épigénétique |</w:t>
      </w:r>
      <w:r>
        <w:t xml:space="preserve"> </w:t>
      </w:r>
      <w:hyperlink r:id="rId29">
        <w:r>
          <w:rPr>
            <w:rStyle w:val="Hyperlink"/>
          </w:rPr>
          <w:t xml:space="preserve">Eléments de classification</w:t>
        </w:r>
      </w:hyperlink>
      <w:r>
        <w:t xml:space="preserve"> </w:t>
      </w:r>
      <w:r>
        <w:t xml:space="preserve">| Introduction au clustering. |</w:t>
      </w:r>
      <w:hyperlink r:id="rId29">
        <w:r>
          <w:rPr>
            <w:rStyle w:val="Hyperlink"/>
          </w:rPr>
          <w:t xml:space="preserve">Présentation de Eve-Lyne Mathieu</w:t>
        </w:r>
      </w:hyperlink>
      <w:r>
        <w:t xml:space="preserve"> </w:t>
      </w:r>
      <w:r>
        <w:t xml:space="preserve">| LncRNAs: Rôles régulateurs dans le système immunitaire. ---------------------------------------------</w:t>
      </w:r>
    </w:p>
    <w:p>
      <w:pPr>
        <w:pStyle w:val="Heading2"/>
      </w:pPr>
      <w:bookmarkStart w:id="30" w:name="phases-pratiques"/>
      <w:bookmarkEnd w:id="30"/>
      <w:r>
        <w:t xml:space="preserve">Phases pratiques</w:t>
      </w:r>
    </w:p>
    <w:p>
      <w:pPr>
        <w:pStyle w:val="FirstParagraph"/>
      </w:pPr>
      <w:r>
        <w:t xml:space="preserve">Le matériel pédagogique pour les phases pratiques est disponible sur le site web du worshop.</w:t>
      </w:r>
    </w:p>
    <w:tbl>
      <w:tblPr>
        <w:tblStyle w:val="TableNormal"/>
        <w:tblW w:type="pct" w:w="4513.888888888889"/>
        <w:tblLook w:firstRow="1"/>
      </w:tblPr>
      <w:tblGrid>
        <w:gridCol w:w="660"/>
        <w:gridCol w:w="2200"/>
        <w:gridCol w:w="42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Concepts traités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Outils</w:t>
            </w:r>
          </w:p>
        </w:tc>
      </w:tr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Tutoriel RNA-Seq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Traitement de données RNA-Seq</w:t>
            </w:r>
          </w:p>
        </w:tc>
        <w:tc>
          <w:p>
            <w:pPr>
              <w:pStyle w:val="Compact"/>
              <w:jc w:val="left"/>
            </w:pPr>
            <w:r>
              <w:t xml:space="preserve">Galaxy server, TopHat, FastQC, cufflinks, cuffmerge, IGV, samtool flagstat, UCSC genome Browser, UCSC FTP web site, Ensembl gene search, R...</w:t>
            </w:r>
          </w:p>
        </w:tc>
      </w:tr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 quick tour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Opérations de base avec R (réalisée sous forme de démo durant les TP)</w:t>
            </w:r>
          </w:p>
        </w:tc>
        <w:tc>
          <w:p>
            <w:pPr>
              <w:pStyle w:val="Compact"/>
              <w:jc w:val="left"/>
            </w:pPr>
            <w:r>
              <w:t xml:space="preserve">R, RStudio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[PCR])</w:t>
            </w:r>
          </w:p>
        </w:tc>
        <w:tc>
          <w:p>
            <w:pPr>
              <w:pStyle w:val="Compact"/>
              <w:jc w:val="left"/>
            </w:pPr>
            <w:r>
              <w:t xml:space="preserve">Protocole pour la réalisation d'un RTPCR</w:t>
            </w:r>
          </w:p>
        </w:tc>
        <w:tc>
          <w:p>
            <w:pPr>
              <w:pStyle w:val="Compact"/>
              <w:jc w:val="left"/>
            </w:pPr>
            <w:r>
              <w:t xml:space="preserve">PCR, RT-PCR, Electrophorèse...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presentation-succincte-des-etapes-bioinformatiques"/>
      <w:bookmarkEnd w:id="33"/>
      <w:r>
        <w:t xml:space="preserve">Présentation succincte des étapes bioinformatiques</w:t>
      </w:r>
    </w:p>
    <w:p>
      <w:pPr>
        <w:pStyle w:val="FirstParagraph"/>
      </w:pPr>
    </w:p>
    <w:p>
      <w:pPr>
        <w:pStyle w:val="BodyText"/>
      </w:pPr>
      <w:r>
        <w:t xml:space="preserve">1.Récupération des données brutes de séquençage (RNA-Seq) sous forme de fichier</w:t>
      </w:r>
      <w:r>
        <w:t xml:space="preserve"> </w:t>
      </w:r>
      <w:hyperlink r:id="rId29">
        <w:r>
          <w:rPr>
            <w:rStyle w:val="Hyperlink"/>
            <w:i/>
          </w:rPr>
          <w:t xml:space="preserve">FASTQ</w:t>
        </w:r>
      </w:hyperlink>
      <w:r>
        <w:t xml:space="preserve">: Le format FASTQ est un format de fichier texte permettant de stocker à la fois des séquences biologiques (uniquement des séquences nucléiques) et les scores de qualité associés.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2.Controle qualité des</w:t>
      </w:r>
      <w:r>
        <w:t xml:space="preserve"> </w:t>
      </w:r>
      <w:r>
        <w:rPr>
          <w:i/>
        </w:rPr>
        <w:t xml:space="preserve">reads</w:t>
      </w:r>
      <w:r>
        <w:t xml:space="preserve"> </w:t>
      </w:r>
      <w:r>
        <w:t xml:space="preserve">par l'outils</w:t>
      </w:r>
      <w:r>
        <w:t xml:space="preserve"> </w:t>
      </w:r>
      <w:hyperlink r:id="rId34">
        <w:r>
          <w:rPr>
            <w:rStyle w:val="Hyperlink"/>
          </w:rPr>
          <w:t xml:space="preserve">Fastqc</w:t>
        </w:r>
      </w:hyperlink>
      <w:r>
        <w:t xml:space="preserve"> </w:t>
      </w:r>
      <w:r>
        <w:t xml:space="preserve">de l'UCSC.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3.Alignement des</w:t>
      </w:r>
      <w:r>
        <w:t xml:space="preserve"> </w:t>
      </w:r>
      <w:r>
        <w:rPr>
          <w:i/>
        </w:rPr>
        <w:t xml:space="preserve">reads</w:t>
      </w:r>
      <w:r>
        <w:t xml:space="preserve"> </w:t>
      </w:r>
      <w:r>
        <w:t xml:space="preserve">contre le génome de référence avec l'outils</w:t>
      </w:r>
      <w:r>
        <w:t xml:space="preserve"> </w:t>
      </w:r>
      <w:hyperlink r:id="rId35">
        <w:r>
          <w:rPr>
            <w:rStyle w:val="Hyperlink"/>
          </w:rPr>
          <w:t xml:space="preserve">Tophat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4.Visualisation de résultats (sous format</w:t>
      </w:r>
      <w:r>
        <w:t xml:space="preserve"> </w:t>
      </w:r>
      <w:hyperlink r:id="rId36">
        <w:r>
          <w:rPr>
            <w:rStyle w:val="Hyperlink"/>
            <w:i/>
          </w:rPr>
          <w:t xml:space="preserve">.bam</w:t>
        </w:r>
      </w:hyperlink>
      <w:r>
        <w:t xml:space="preserve">) (Binary Alignment/Map) avec</w:t>
      </w:r>
      <w:r>
        <w:t xml:space="preserve"> </w:t>
      </w:r>
      <w:hyperlink r:id="rId37">
        <w:r>
          <w:rPr>
            <w:rStyle w:val="Hyperlink"/>
          </w:rPr>
          <w:t xml:space="preserve">IGV</w:t>
        </w:r>
      </w:hyperlink>
      <w:r>
        <w:t xml:space="preserve"> </w:t>
      </w:r>
      <w:r>
        <w:t xml:space="preserve">(Integrated Genome Viewer)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5.Comptage des</w:t>
      </w:r>
      <w:r>
        <w:t xml:space="preserve"> </w:t>
      </w:r>
      <w:r>
        <w:rPr>
          <w:i/>
        </w:rPr>
        <w:t xml:space="preserve">FPKMs</w:t>
      </w:r>
      <w:r>
        <w:t xml:space="preserve"> </w:t>
      </w:r>
      <w:r>
        <w:t xml:space="preserve">(fragments per kilobase of exon per million fragments mapped) avec</w:t>
      </w:r>
      <w:r>
        <w:t xml:space="preserve"> </w:t>
      </w:r>
      <w:hyperlink r:id="rId38">
        <w:r>
          <w:rPr>
            <w:rStyle w:val="Hyperlink"/>
          </w:rPr>
          <w:t xml:space="preserve">Cufflinks</w:t>
        </w:r>
      </w:hyperlink>
      <w:r>
        <w:t xml:space="preserve"> </w:t>
      </w:r>
      <w:r>
        <w:t xml:space="preserve">en utilisant le genome de référence sous forme d'un fichier</w:t>
      </w:r>
      <w:r>
        <w:t xml:space="preserve"> </w:t>
      </w:r>
      <w:hyperlink r:id="rId39">
        <w:r>
          <w:rPr>
            <w:i/>
            <w:rStyle w:val="Hyperlink"/>
          </w:rPr>
          <w:t xml:space="preserve">GTF</w:t>
        </w:r>
      </w:hyperlink>
      <w:r>
        <w:t xml:space="preserve"> </w:t>
      </w:r>
      <w:r>
        <w:t xml:space="preserve">(Gene transfer format)</w:t>
      </w:r>
    </w:p>
    <w:p>
      <w:pPr>
        <w:pStyle w:val="BodyText"/>
      </w:pPr>
    </w:p>
    <w:p>
      <w:pPr>
        <w:pStyle w:val="BodyText"/>
      </w:pPr>
      <w:r>
        <w:t xml:space="preserve">6.Etablir une liste de gènes différentiellement exprimés avec le package DESeq2 sur logiciel 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7.Analyse d'enrichissement fonctionnel avec</w:t>
      </w:r>
      <w:r>
        <w:t xml:space="preserve"> </w:t>
      </w:r>
      <w:hyperlink r:id="rId40">
        <w:r>
          <w:rPr>
            <w:rStyle w:val="Hyperlink"/>
          </w:rPr>
          <w:t xml:space="preserve">DAVID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8.Validation par PCR des Candidats trouvés.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ressources-web"/>
      <w:bookmarkEnd w:id="41"/>
      <w:r>
        <w:t xml:space="preserve">Ressources web</w:t>
      </w:r>
    </w:p>
    <w:tbl>
      <w:tblPr>
        <w:tblStyle w:val="TableNormal"/>
        <w:tblW w:type="pct" w:w="7083.333333333334"/>
        <w:tblLook w:firstRow="1"/>
      </w:tblPr>
      <w:tblGrid>
        <w:gridCol w:w="2090"/>
        <w:gridCol w:w="770"/>
        <w:gridCol w:w="83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 web d'Illumina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https://www.illumina.com/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 nombreuses vidéo de présentation des technologies.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 web d'Oxford Nanopore</w:t>
            </w:r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https://www.nanoporetech.com/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Présentation du MiION et des ses applications.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 web de package Deseq2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https://bioconductor.org/packages/release/bioc/html/DESeq2.html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Analyse de l'expression différentielle via la distribution binomiale négative.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Navigateur de génome de l'UCSC</w:t>
            </w:r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://genome.ucsc.edu/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de données d'information sur les génomes.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Navigateur de génome Ensembl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http://www.ensembl.org/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Base de données d'information sur les génomes.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b985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e402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" TargetMode="External" /><Relationship Type="http://schemas.openxmlformats.org/officeDocument/2006/relationships/hyperlink" Id="rId38" Target="http://cole-trapnell-lab.github.io/cufflinks/cuffdiff/" TargetMode="External" /><Relationship Type="http://schemas.openxmlformats.org/officeDocument/2006/relationships/hyperlink" Id="rId36" Target="http://samtools.github.io/hts-specs/SAMv1.pdf" TargetMode="External" /><Relationship Type="http://schemas.openxmlformats.org/officeDocument/2006/relationships/hyperlink" Id="rId46" Target="http://www.ensembl.org/" TargetMode="External" /><Relationship Type="http://schemas.openxmlformats.org/officeDocument/2006/relationships/hyperlink" Id="rId39" Target="http://www.ensembl.org/info/website/upload/gff.html" TargetMode="External" /><Relationship Type="http://schemas.openxmlformats.org/officeDocument/2006/relationships/hyperlink" Id="rId25" Target="http://yasminekzl.github.io/Tlemcen_workshop_2016/index.html" TargetMode="External" /><Relationship Type="http://schemas.openxmlformats.org/officeDocument/2006/relationships/hyperlink" Id="rId44" Target="https://bioconductor.org/packages/release/bioc/html/DESeq2.html" TargetMode="External" /><Relationship Type="http://schemas.openxmlformats.org/officeDocument/2006/relationships/hyperlink" Id="rId35" Target="https://ccb.jhu.edu/software/tophat/index.shtml" TargetMode="External" /><Relationship Type="http://schemas.openxmlformats.org/officeDocument/2006/relationships/hyperlink" Id="rId40" Target="https://david.ncifcrf.gov/" TargetMode="External" /><Relationship Type="http://schemas.openxmlformats.org/officeDocument/2006/relationships/hyperlink" Id="rId45" Target="https://genome.ucsc.edu/" TargetMode="External" /><Relationship Type="http://schemas.openxmlformats.org/officeDocument/2006/relationships/hyperlink" Id="rId34" Target="https://usegalaxy.org/root?tool_id=toolshed.g2.bx.psu.edu%2Frepos%2Fdevteam%2Ffastqc%2Ffastqc%2F0.64" TargetMode="External" /><Relationship Type="http://schemas.openxmlformats.org/officeDocument/2006/relationships/hyperlink" Id="rId37" Target="https://www.broadinstitute.org/software/igv/log-in" TargetMode="External" /><Relationship Type="http://schemas.openxmlformats.org/officeDocument/2006/relationships/hyperlink" Id="rId42" Target="https://www.illumina.com/" TargetMode="External" /><Relationship Type="http://schemas.openxmlformats.org/officeDocument/2006/relationships/hyperlink" Id="rId43" Target="https://www.nanoporetech.com/" TargetMode="External" /><Relationship Type="http://schemas.openxmlformats.org/officeDocument/2006/relationships/hyperlink" Id="rId32" Target="practical/R_first_steps/quick_tour.html" TargetMode="External" /><Relationship Type="http://schemas.openxmlformats.org/officeDocument/2006/relationships/hyperlink" Id="rId31" Target="practical/rna_seq_galaxy/rnaseq_td_galaxy.html" TargetMode="External" /><Relationship Type="http://schemas.openxmlformats.org/officeDocument/2006/relationships/hyperlink" Id="rId28" Target="slides/rna-seq_2015-polytech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8" Target="http://cole-trapnell-lab.github.io/cufflinks/cuffdiff/" TargetMode="External" /><Relationship Type="http://schemas.openxmlformats.org/officeDocument/2006/relationships/hyperlink" Id="rId36" Target="http://samtools.github.io/hts-specs/SAMv1.pdf" TargetMode="External" /><Relationship Type="http://schemas.openxmlformats.org/officeDocument/2006/relationships/hyperlink" Id="rId46" Target="http://www.ensembl.org/" TargetMode="External" /><Relationship Type="http://schemas.openxmlformats.org/officeDocument/2006/relationships/hyperlink" Id="rId39" Target="http://www.ensembl.org/info/website/upload/gff.html" TargetMode="External" /><Relationship Type="http://schemas.openxmlformats.org/officeDocument/2006/relationships/hyperlink" Id="rId25" Target="http://yasminekzl.github.io/Tlemcen_workshop_2016/index.html" TargetMode="External" /><Relationship Type="http://schemas.openxmlformats.org/officeDocument/2006/relationships/hyperlink" Id="rId44" Target="https://bioconductor.org/packages/release/bioc/html/DESeq2.html" TargetMode="External" /><Relationship Type="http://schemas.openxmlformats.org/officeDocument/2006/relationships/hyperlink" Id="rId35" Target="https://ccb.jhu.edu/software/tophat/index.shtml" TargetMode="External" /><Relationship Type="http://schemas.openxmlformats.org/officeDocument/2006/relationships/hyperlink" Id="rId40" Target="https://david.ncifcrf.gov/" TargetMode="External" /><Relationship Type="http://schemas.openxmlformats.org/officeDocument/2006/relationships/hyperlink" Id="rId45" Target="https://genome.ucsc.edu/" TargetMode="External" /><Relationship Type="http://schemas.openxmlformats.org/officeDocument/2006/relationships/hyperlink" Id="rId34" Target="https://usegalaxy.org/root?tool_id=toolshed.g2.bx.psu.edu%2Frepos%2Fdevteam%2Ffastqc%2Ffastqc%2F0.64" TargetMode="External" /><Relationship Type="http://schemas.openxmlformats.org/officeDocument/2006/relationships/hyperlink" Id="rId37" Target="https://www.broadinstitute.org/software/igv/log-in" TargetMode="External" /><Relationship Type="http://schemas.openxmlformats.org/officeDocument/2006/relationships/hyperlink" Id="rId42" Target="https://www.illumina.com/" TargetMode="External" /><Relationship Type="http://schemas.openxmlformats.org/officeDocument/2006/relationships/hyperlink" Id="rId43" Target="https://www.nanoporetech.com/" TargetMode="External" /><Relationship Type="http://schemas.openxmlformats.org/officeDocument/2006/relationships/hyperlink" Id="rId32" Target="practical/R_first_steps/quick_tour.html" TargetMode="External" /><Relationship Type="http://schemas.openxmlformats.org/officeDocument/2006/relationships/hyperlink" Id="rId31" Target="practical/rna_seq_galaxy/rnaseq_td_galaxy.html" TargetMode="External" /><Relationship Type="http://schemas.openxmlformats.org/officeDocument/2006/relationships/hyperlink" Id="rId28" Target="slides/rna-seq_2015-polytec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IIIème workshop du laboratoire BIOMOLIM - Immunoinformatique - Analyse du transcriptome par approches haut-débit.</dc:title>
  <dc:creator>null</dc:creator>
</cp:coreProperties>
</file>