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980000"/>
        </w:rPr>
      </w:pPr>
      <w:r w:rsidDel="00000000" w:rsidR="00000000" w:rsidRPr="00000000">
        <w:rPr>
          <w:b w:val="1"/>
          <w:rtl w:val="0"/>
        </w:rPr>
        <w:t xml:space="preserve">Lien du site analysé :</w:t>
      </w:r>
      <w:r w:rsidDel="00000000" w:rsidR="00000000" w:rsidRPr="00000000">
        <w:rPr>
          <w:b w:val="1"/>
          <w:color w:val="980000"/>
          <w:rtl w:val="0"/>
        </w:rPr>
        <w:br w:type="textWrapping"/>
      </w:r>
      <w:hyperlink r:id="rId6">
        <w:r w:rsidDel="00000000" w:rsidR="00000000" w:rsidRPr="00000000">
          <w:rPr>
            <w:color w:val="980000"/>
            <w:rtl w:val="0"/>
          </w:rPr>
          <w:t xml:space="preserve"> </w:t>
        </w:r>
      </w:hyperlink>
      <w:hyperlink r:id="rId7">
        <w:r w:rsidDel="00000000" w:rsidR="00000000" w:rsidRPr="00000000">
          <w:rPr>
            <w:color w:val="980000"/>
            <w:u w:val="single"/>
            <w:rtl w:val="0"/>
          </w:rPr>
          <w:t xml:space="preserve">https://bethesda.net/fr/game/the-evil-within</w:t>
        </w:r>
      </w:hyperlink>
      <w:r w:rsidDel="00000000" w:rsidR="00000000" w:rsidRPr="00000000">
        <w:rPr>
          <w:rtl w:val="0"/>
        </w:rPr>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Partie Front-end</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Langages utilisés</w:t>
      </w:r>
      <w:r w:rsidDel="00000000" w:rsidR="00000000" w:rsidRPr="00000000">
        <w:rPr>
          <w:rtl w:val="0"/>
        </w:rPr>
        <w:t xml:space="preserve"> : HTML, CSS, JavaScript</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Framework utilisé</w:t>
      </w:r>
      <w:r w:rsidDel="00000000" w:rsidR="00000000" w:rsidRPr="00000000">
        <w:rPr>
          <w:rtl w:val="0"/>
        </w:rPr>
        <w:t xml:space="preserve"> : React.js</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Éléments visibles par l’utilisateur :</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Affichage des images, fiches du jeu, bande-annonces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Présence d’un header et d’un footer</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Boutons interactifs ("Acheter", "Connexion")</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Navigation fluide sans rechargement complet de la page </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Menus déroulants, effets au survol, choix de la langue (français/anglais)</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React est utilisé pour créer des composants réutilisables tels que les menus, les carrousels et les boutons.</w:t>
        <w:br w:type="textWrapping"/>
      </w:r>
    </w:p>
    <w:p w:rsidR="00000000" w:rsidDel="00000000" w:rsidP="00000000" w:rsidRDefault="00000000" w:rsidRPr="00000000" w14:paraId="0000000C">
      <w:pPr>
        <w:spacing w:after="240" w:before="240" w:lineRule="auto"/>
        <w:rPr>
          <w:b w:val="1"/>
          <w:u w:val="single"/>
        </w:rPr>
      </w:pPr>
      <w:r w:rsidDel="00000000" w:rsidR="00000000" w:rsidRPr="00000000">
        <w:rPr>
          <w:b w:val="1"/>
          <w:u w:val="single"/>
          <w:rtl w:val="0"/>
        </w:rPr>
        <w:t xml:space="preserve">Partie Back-end</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Authentification et gestion des utilisateurs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Connexion aux comptes Bethesda</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Vérification des identifiants, gestion des sessions ou tokens</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Stockage des données utilisateur (profil, historique d’achats)</w:t>
        <w:br w:type="textWrapping"/>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Gestion du panier d’achat</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Ajout, suppression et modification d’articles dans le panieR</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Sauvegarde temporaire</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Passage de commande, gestion du paiement</w:t>
        <w:br w:type="textWrapping"/>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Récupération des données du jeu</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Titres, descriptions, images, vidéos, prix, promotions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Données servies via une API REST au format JSON</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Récupération dynamique par le front-end (React)</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Affichage du contenu en plusieurs langues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Détection automatique ou choix manuel de la langue</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Traduction via une API externe (ex : DeepL)</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u w:val="single"/>
        </w:rPr>
      </w:pPr>
      <w:r w:rsidDel="00000000" w:rsidR="00000000" w:rsidRPr="00000000">
        <w:rPr>
          <w:b w:val="1"/>
          <w:u w:val="single"/>
          <w:rtl w:val="0"/>
        </w:rPr>
        <w:t xml:space="preserve">Méthodologie </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Pour identifier le front-end, j’ai observé le site et j’ai utilisé l’outil "Inspecter l’élément" dans Chrome.</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 Pour le back-end, je me suis basé sur le contenu du cours. J’ai reconnu des fonctions classiques comme l’authentification, la gestion du panier et l’utilisation du SQL, car il est logique d’utiliser cette base de données pour gérer les données, ainsi que du JSON. Je me suis aussi dit qu’il était fortement probable qu’ils utilisent une API, comme beaucoup de sites. </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J’ai aussi utilisé le site BuiltWith pour voir quels langages/frameworks ils avaient utilisés et pourquoi, notamment React, Node.js et Express, que je ne connais pas beaucoup. </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Pour compléter, j’ai demandé à une IA (ChatGPT) de me confirmer certains points et de m’aider à trouver certaines actions en arrière plan.</w:t>
        <w:br w:type="textWrapping"/>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thesda.net/fr/game/the-evil-within" TargetMode="External"/><Relationship Id="rId7" Type="http://schemas.openxmlformats.org/officeDocument/2006/relationships/hyperlink" Target="https://bethesda.net/fr/game/the-evil-wi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