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60" w:before="0"/>
        <w:jc w:val="center"/>
      </w:pPr>
      <w:r>
        <w:rPr>
          <w:rFonts w:ascii="Arial" w:cs="Arial" w:eastAsia="Arial" w:hAnsi="Arial"/>
          <w:b/>
          <w:bCs/>
          <w:color w:val="1F4E79"/>
          <w:sz w:val="56"/>
          <w:szCs w:val="56"/>
        </w:rPr>
        <w:t xml:space="preserve">E-COMMERCE RETURN RATE</w:t>
      </w:r>
    </w:p>
    <w:p>
      <w:pPr>
        <w:spacing w:after="240" w:before="0"/>
        <w:jc w:val="center"/>
      </w:pPr>
      <w:r>
        <w:rPr>
          <w:rFonts w:ascii="Arial" w:cs="Arial" w:eastAsia="Arial" w:hAnsi="Arial"/>
          <w:b/>
          <w:bCs/>
          <w:color w:val="1F4E79"/>
          <w:sz w:val="56"/>
          <w:szCs w:val="56"/>
        </w:rPr>
        <w:t xml:space="preserve">REDUCTION ANALYSIS</w:t>
      </w:r>
    </w:p>
    <w:p>
      <w:pPr>
        <w:pBdr>
          <w:bottom w:val="single" w:color="2E75B6" w:sz="6" w:space="1"/>
        </w:pBdr>
        <w:spacing w:after="0"/>
      </w:pPr>
    </w:p>
    <w:p>
      <w:pPr>
        <w:spacing w:after="0" w:before="160"/>
      </w:pPr>
    </w:p>
    <w:p>
      <w:pPr>
        <w:spacing w:after="120" w:before="0"/>
        <w:jc w:val="center"/>
      </w:pPr>
      <w:r>
        <w:rPr>
          <w:rFonts w:ascii="Arial" w:cs="Arial" w:eastAsia="Arial" w:hAnsi="Arial"/>
          <w:color w:val="2E75B6"/>
          <w:sz w:val="32"/>
          <w:szCs w:val="32"/>
        </w:rPr>
        <w:t xml:space="preserve">Business Recommendations Report</w:t>
      </w:r>
    </w:p>
    <w:p>
      <w:pPr>
        <w:spacing w:after="80" w:before="0"/>
        <w:jc w:val="center"/>
      </w:pPr>
      <w:r>
        <w:rPr>
          <w:rFonts w:ascii="Arial" w:cs="Arial" w:eastAsia="Arial" w:hAnsi="Arial"/>
          <w:i/>
          <w:iCs/>
          <w:color w:val="666666"/>
          <w:sz w:val="24"/>
          <w:szCs w:val="24"/>
        </w:rPr>
        <w:t xml:space="preserve">Phase 9 Deliverable</w:t>
      </w:r>
    </w:p>
    <w:p>
      <w:pPr>
        <w:spacing w:after="0" w:before="400"/>
      </w:pPr>
    </w:p>
    <w:p>
      <w:pPr>
        <w:jc w:val="center"/>
      </w:pPr>
      <w:r>
        <w:rPr>
          <w:rFonts w:ascii="Arial" w:cs="Arial" w:eastAsia="Arial" w:hAnsi="Arial"/>
          <w:i/>
          <w:iCs/>
          <w:color w:val="555555"/>
          <w:sz w:val="22"/>
          <w:szCs w:val="22"/>
        </w:rPr>
        <w:t xml:space="preserve">Based on analysis of 34,500 orders across 7 product categories and 5 regions</w:t>
      </w:r>
    </w:p>
    <w:p>
      <w:pPr>
        <w:spacing w:after="0" w:before="600"/>
      </w:pPr>
    </w:p>
    <w:p>
      <w:pPr>
        <w:jc w:val="center"/>
      </w:pPr>
      <w:r>
        <w:rPr>
          <w:rFonts w:ascii="Arial" w:cs="Arial" w:eastAsia="Arial" w:hAnsi="Arial"/>
          <w:color w:val="1A1A1A"/>
          <w:sz w:val="24"/>
          <w:szCs w:val="24"/>
        </w:rPr>
        <w:t xml:space="preserve">June 2025</w:t>
      </w:r>
    </w:p>
    <w:p>
      <w:r>
        <w:br w:type="page"/>
      </w:r>
    </w:p>
    <w:p>
      <w:pPr>
        <w:pStyle w:val="Heading1"/>
        <w:spacing w:after="120" w:before="320"/>
      </w:pPr>
      <w:r>
        <w:rPr>
          <w:rFonts w:ascii="Arial" w:cs="Arial" w:eastAsia="Arial" w:hAnsi="Arial"/>
          <w:b/>
          <w:bCs/>
          <w:color w:val="1F4E79"/>
          <w:sz w:val="32"/>
          <w:szCs w:val="32"/>
        </w:rPr>
        <w:t xml:space="preserve">1. Executive Summary</w:t>
      </w:r>
    </w:p>
    <w:p>
      <w:pPr>
        <w:pBdr>
          <w:bottom w:val="single" w:color="2E75B6" w:sz="6" w:space="1"/>
        </w:pBdr>
        <w:spacing w:after="0"/>
      </w:pPr>
    </w:p>
    <w:p>
      <w:pPr>
        <w:spacing w:after="0" w:before="120"/>
      </w:pPr>
    </w:p>
    <w:p>
      <w:pPr>
        <w:spacing w:after="80" w:before="60"/>
      </w:pPr>
      <w:r>
        <w:rPr>
          <w:rFonts w:ascii="Arial" w:cs="Arial" w:eastAsia="Arial" w:hAnsi="Arial"/>
          <w:color w:val="1A1A1A"/>
          <w:sz w:val="22"/>
          <w:szCs w:val="22"/>
        </w:rPr>
        <w:t xml:space="preserve">This report presents data-driven recommendations to reduce product return rates and protect revenue in an e-commerce operation. The analysis is based on a dataset of 34,500 customer orders spanning 7 product categories and 5 geographical regions.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KEY METRICS AT A GLANCE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Total Orders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Return Rate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Revenue at Risk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Top Return Reason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34,500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₹388,000+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Not as Described</w:t>
            </w:r>
          </w:p>
        </w:tc>
      </w:tr>
    </w:tbl>
    <w:p>
      <w:pPr>
        <w:spacing w:after="0" w:before="160"/>
      </w:pPr>
    </w:p>
    <w:p>
      <w:pPr>
        <w:pStyle w:val="Heading2"/>
        <w:spacing w:after="80" w:before="200"/>
      </w:pPr>
      <w:r>
        <w:rPr>
          <w:rFonts w:ascii="Arial" w:cs="Arial" w:eastAsia="Arial" w:hAnsi="Arial"/>
          <w:b/>
          <w:bCs/>
          <w:color w:val="2E75B6"/>
          <w:sz w:val="26"/>
          <w:szCs w:val="26"/>
        </w:rPr>
        <w:t xml:space="preserve">Three Core Findings</w:t>
      </w:r>
    </w:p>
    <w:p>
      <w:pPr>
        <w:pStyle w:val="ListParagraph"/>
        <w:numPr>
          <w:ilvl w:val="0"/>
          <w:numId w:val="2"/>
        </w:numPr>
        <w:spacing w:after="40" w:before="40"/>
      </w:pPr>
      <w:r>
        <w:rPr>
          <w:rFonts w:ascii="Arial" w:cs="Arial" w:eastAsia="Arial" w:hAnsi="Arial"/>
          <w:color w:val="1A1A1A"/>
          <w:sz w:val="22"/>
          <w:szCs w:val="22"/>
        </w:rPr>
        <w:t xml:space="preserve">Returns are driven by product and fulfilment quality, not delivery speed — statistical testing confirmed delivery days are not significantly different between returned and non-returned orders (p = 0.411).</w:t>
      </w:r>
    </w:p>
    <w:p>
      <w:pPr>
        <w:pStyle w:val="ListParagraph"/>
        <w:numPr>
          <w:ilvl w:val="0"/>
          <w:numId w:val="2"/>
        </w:numPr>
        <w:spacing w:after="40" w:before="40"/>
      </w:pPr>
      <w:r>
        <w:rPr>
          <w:rFonts w:ascii="Arial" w:cs="Arial" w:eastAsia="Arial" w:hAnsi="Arial"/>
          <w:color w:val="1A1A1A"/>
          <w:sz w:val="22"/>
          <w:szCs w:val="22"/>
        </w:rPr>
        <w:t xml:space="preserve">Fashion (8.28%) and Electronics (7.30%) account for disproportionate return rates, both significantly above the overall average of 5.52%.</w:t>
      </w:r>
    </w:p>
    <w:p>
      <w:pPr>
        <w:pStyle w:val="ListParagraph"/>
        <w:numPr>
          <w:ilvl w:val="0"/>
          <w:numId w:val="2"/>
        </w:numPr>
        <w:spacing w:after="40" w:before="40"/>
      </w:pPr>
      <w:r>
        <w:rPr>
          <w:rFonts w:ascii="Arial" w:cs="Arial" w:eastAsia="Arial" w:hAnsi="Arial"/>
          <w:color w:val="1A1A1A"/>
          <w:sz w:val="22"/>
          <w:szCs w:val="22"/>
        </w:rPr>
        <w:t xml:space="preserve">'Not as described' is the costliest return reason at ₹105,010 in revenue loss — more than any other single reason.</w:t>
      </w:r>
    </w:p>
    <w:p>
      <w:pPr>
        <w:spacing w:after="0" w:before="120"/>
      </w:pPr>
    </w:p>
    <w:p>
      <w:pPr>
        <w:pStyle w:val="Heading2"/>
        <w:spacing w:after="80" w:before="200"/>
      </w:pPr>
      <w:r>
        <w:rPr>
          <w:rFonts w:ascii="Arial" w:cs="Arial" w:eastAsia="Arial" w:hAnsi="Arial"/>
          <w:b/>
          <w:bCs/>
          <w:color w:val="2E75B6"/>
          <w:sz w:val="26"/>
          <w:szCs w:val="26"/>
        </w:rPr>
        <w:t xml:space="preserve">Strategic Implication</w:t>
      </w:r>
    </w:p>
    <w:p>
      <w:pPr>
        <w:spacing w:after="80" w:before="60"/>
      </w:pPr>
      <w:r>
        <w:rPr>
          <w:rFonts w:ascii="Arial" w:cs="Arial" w:eastAsia="Arial" w:hAnsi="Arial"/>
          <w:color w:val="1A1A1A"/>
          <w:sz w:val="22"/>
          <w:szCs w:val="22"/>
        </w:rPr>
        <w:t xml:space="preserve">Reducing returns in Fashion and Electronics through product description improvements and quality control will deliver significantly greater business impact than investments in logistics or delivery speed. This report recommends seven prioritised actions to achieve this.</w:t>
      </w:r>
    </w:p>
    <w:p>
      <w:r>
        <w:br w:type="page"/>
      </w:r>
    </w:p>
    <w:p>
      <w:pPr>
        <w:pStyle w:val="Heading1"/>
        <w:spacing w:after="120" w:before="320"/>
      </w:pPr>
      <w:r>
        <w:rPr>
          <w:rFonts w:ascii="Arial" w:cs="Arial" w:eastAsia="Arial" w:hAnsi="Arial"/>
          <w:b/>
          <w:bCs/>
          <w:color w:val="1F4E79"/>
          <w:sz w:val="32"/>
          <w:szCs w:val="32"/>
        </w:rPr>
        <w:t xml:space="preserve">2. Key Findings from Data Analysis</w:t>
      </w:r>
    </w:p>
    <w:p>
      <w:pPr>
        <w:pBdr>
          <w:bottom w:val="single" w:color="2E75B6" w:sz="6" w:space="1"/>
        </w:pBdr>
        <w:spacing w:after="0"/>
      </w:pPr>
    </w:p>
    <w:p>
      <w:pPr>
        <w:spacing w:after="0" w:before="120"/>
      </w:pPr>
    </w:p>
    <w:p>
      <w:pPr>
        <w:pStyle w:val="Heading2"/>
        <w:spacing w:after="80" w:before="200"/>
      </w:pPr>
      <w:r>
        <w:rPr>
          <w:rFonts w:ascii="Arial" w:cs="Arial" w:eastAsia="Arial" w:hAnsi="Arial"/>
          <w:b/>
          <w:bCs/>
          <w:color w:val="2E75B6"/>
          <w:sz w:val="26"/>
          <w:szCs w:val="26"/>
        </w:rPr>
        <w:t xml:space="preserve">2.1 Return Rate by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 Rate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Average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Fashion</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8.28%</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+2.76pp</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Electronics</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7.30%</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+1.78pp</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Home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5.65%</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+0.13pp</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Toys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4.94%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-0.58pp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LOW</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Sports</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4.94%</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-0.58pp</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Beauty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3.78%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-1.74pp</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LOW</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Grocery</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1.31%</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-4.21pp</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VERY LOW</w:t>
            </w:r>
          </w:p>
        </w:tc>
      </w:tr>
    </w:tbl>
    <w:p>
      <w:pPr>
        <w:spacing w:after="0" w:before="80"/>
      </w:pPr>
    </w:p>
    <w:p>
      <w:pPr>
        <w:spacing w:after="80" w:before="60"/>
      </w:pPr>
      <w:r>
        <w:rPr>
          <w:rFonts w:ascii="Arial" w:cs="Arial" w:eastAsia="Arial" w:hAnsi="Arial"/>
          <w:color w:val="1A1A1A"/>
          <w:sz w:val="22"/>
          <w:szCs w:val="22"/>
        </w:rPr>
        <w:t xml:space="preserve">Fashion and Electronics are the two highest return-risk categories, consistently exceeding the overall average across all five regions. Grocery represents the benchmark for low-return performance.</w:t>
      </w:r>
    </w:p>
    <w:p>
      <w:pPr>
        <w:spacing w:after="0" w:before="160"/>
      </w:pPr>
    </w:p>
    <w:p>
      <w:pPr>
        <w:pStyle w:val="Heading2"/>
        <w:spacing w:after="80" w:before="200"/>
      </w:pPr>
      <w:r>
        <w:rPr>
          <w:rFonts w:ascii="Arial" w:cs="Arial" w:eastAsia="Arial" w:hAnsi="Arial"/>
          <w:b/>
          <w:bCs/>
          <w:color w:val="2E75B6"/>
          <w:sz w:val="26"/>
          <w:szCs w:val="26"/>
        </w:rPr>
        <w:t xml:space="preserve">2.2 Financial Impact by Return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Return Reason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Lost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Profit Lost</w:t>
            </w:r>
          </w:p>
        </w:tc>
      </w:tr>
      <w:tr>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Not as Described</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490</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₹105,010</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₹16,216</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Longer Needed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481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₹94,000+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₹15,300+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Defective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₹91,000+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₹14,700+</w:t>
            </w:r>
          </w:p>
        </w:tc>
      </w:tr>
      <w:tr>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Missing / Wrong Item</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439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₹89,000+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₹15,000+</w:t>
            </w:r>
          </w:p>
        </w:tc>
      </w:tr>
      <w:tr>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Slow Delivery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28</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₹5,658</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₹865</w:t>
            </w:r>
          </w:p>
        </w:tc>
      </w:tr>
    </w:tbl>
    <w:p>
      <w:pPr>
        <w:spacing w:after="0" w:before="80"/>
      </w:pPr>
    </w:p>
    <w:p>
      <w:pPr>
        <w:spacing w:after="80" w:before="60"/>
      </w:pPr>
      <w:r>
        <w:rPr>
          <w:rFonts w:ascii="Arial" w:cs="Arial" w:eastAsia="Arial" w:hAnsi="Arial"/>
          <w:color w:val="1A1A1A"/>
          <w:sz w:val="22"/>
          <w:szCs w:val="22"/>
        </w:rPr>
        <w:t xml:space="preserve">Product and fulfilment issues account for over 98% of revenue and profit losses. Slow delivery contributes less than 2% — confirming that logistics investment alone will not meaningfully reduce returns.</w:t>
      </w:r>
    </w:p>
    <w:p>
      <w:pPr>
        <w:spacing w:after="0" w:before="160"/>
      </w:pPr>
    </w:p>
    <w:p>
      <w:pPr>
        <w:pStyle w:val="Heading2"/>
        <w:spacing w:after="80" w:before="200"/>
      </w:pPr>
      <w:r>
        <w:rPr>
          <w:rFonts w:ascii="Arial" w:cs="Arial" w:eastAsia="Arial" w:hAnsi="Arial"/>
          <w:b/>
          <w:bCs/>
          <w:color w:val="2E75B6"/>
          <w:sz w:val="26"/>
          <w:szCs w:val="26"/>
        </w:rPr>
        <w:t xml:space="preserve">2.3 Statistical Validation</w:t>
      </w:r>
    </w:p>
    <w:p>
      <w:pPr>
        <w:spacing w:after="80" w:before="60"/>
      </w:pPr>
      <w:r>
        <w:rPr>
          <w:rFonts w:ascii="Arial" w:cs="Arial" w:eastAsia="Arial" w:hAnsi="Arial"/>
          <w:color w:val="1A1A1A"/>
          <w:sz w:val="22"/>
          <w:szCs w:val="22"/>
        </w:rPr>
        <w:t xml:space="preserve">Mann-Whitney U tests confirmed the following:</w:t>
      </w:r>
    </w:p>
    <w:p>
      <w:pPr>
        <w:pStyle w:val="ListParagraph"/>
        <w:numPr>
          <w:ilvl w:val="0"/>
          <w:numId w:val="2"/>
        </w:numPr>
        <w:spacing w:after="40" w:before="40"/>
      </w:pPr>
      <w:r>
        <w:rPr>
          <w:rFonts w:ascii="Arial" w:cs="Arial" w:eastAsia="Arial" w:hAnsi="Arial"/>
          <w:color w:val="1A1A1A"/>
          <w:sz w:val="22"/>
          <w:szCs w:val="22"/>
        </w:rPr>
        <w:t xml:space="preserve">Product price differs significantly between returned and non-returned orders (p &lt; 0.001) — returned orders involve higher-priced products.</w:t>
      </w:r>
    </w:p>
    <w:p>
      <w:pPr>
        <w:pStyle w:val="ListParagraph"/>
        <w:numPr>
          <w:ilvl w:val="0"/>
          <w:numId w:val="2"/>
        </w:numPr>
        <w:spacing w:after="40" w:before="40"/>
      </w:pPr>
      <w:r>
        <w:rPr>
          <w:rFonts w:ascii="Arial" w:cs="Arial" w:eastAsia="Arial" w:hAnsi="Arial"/>
          <w:color w:val="1A1A1A"/>
          <w:sz w:val="22"/>
          <w:szCs w:val="22"/>
        </w:rPr>
        <w:t xml:space="preserve">Total order value differs significantly between groups (p &lt; 0.001) — returned orders have higher monetary value on average.</w:t>
      </w:r>
    </w:p>
    <w:p>
      <w:pPr>
        <w:pStyle w:val="ListParagraph"/>
        <w:numPr>
          <w:ilvl w:val="0"/>
          <w:numId w:val="2"/>
        </w:numPr>
        <w:spacing w:after="40" w:before="40"/>
      </w:pPr>
      <w:r>
        <w:rPr>
          <w:rFonts w:ascii="Arial" w:cs="Arial" w:eastAsia="Arial" w:hAnsi="Arial"/>
          <w:color w:val="1A1A1A"/>
          <w:sz w:val="22"/>
          <w:szCs w:val="22"/>
        </w:rPr>
        <w:t xml:space="preserve">Profit margin differs significantly (p &lt; 0.001) — returned orders affect higher-margin products disproportionately.</w:t>
      </w:r>
    </w:p>
    <w:p>
      <w:pPr>
        <w:pStyle w:val="ListParagraph"/>
        <w:numPr>
          <w:ilvl w:val="0"/>
          <w:numId w:val="2"/>
        </w:numPr>
        <w:spacing w:after="40" w:before="40"/>
      </w:pPr>
      <w:r>
        <w:rPr>
          <w:rFonts w:ascii="Arial" w:cs="Arial" w:eastAsia="Arial" w:hAnsi="Arial"/>
          <w:color w:val="1A1A1A"/>
          <w:sz w:val="22"/>
          <w:szCs w:val="22"/>
        </w:rPr>
        <w:t xml:space="preserve">Delivery days show NO significant difference (p = 0.411) — delivery speed is not a return driver.</w:t>
      </w:r>
    </w:p>
    <w:p>
      <w:pPr>
        <w:pStyle w:val="ListParagraph"/>
        <w:numPr>
          <w:ilvl w:val="0"/>
          <w:numId w:val="2"/>
        </w:numPr>
        <w:spacing w:after="40" w:before="40"/>
      </w:pPr>
      <w:r>
        <w:rPr>
          <w:rFonts w:ascii="Arial" w:cs="Arial" w:eastAsia="Arial" w:hAnsi="Arial"/>
          <w:color w:val="1A1A1A"/>
          <w:sz w:val="22"/>
          <w:szCs w:val="22"/>
        </w:rPr>
        <w:t xml:space="preserve">Discount levels show NO significant difference (p = 0.775) — discounting does not cause returns.</w:t>
      </w:r>
    </w:p>
    <w:p>
      <w:r>
        <w:br w:type="page"/>
      </w:r>
    </w:p>
    <w:p>
      <w:pPr>
        <w:pStyle w:val="Heading1"/>
        <w:spacing w:after="120" w:before="320"/>
      </w:pPr>
      <w:r>
        <w:rPr>
          <w:rFonts w:ascii="Arial" w:cs="Arial" w:eastAsia="Arial" w:hAnsi="Arial"/>
          <w:b/>
          <w:bCs/>
          <w:color w:val="1F4E79"/>
          <w:sz w:val="32"/>
          <w:szCs w:val="32"/>
        </w:rPr>
        <w:t xml:space="preserve">3. Recommendations</w:t>
      </w:r>
    </w:p>
    <w:p>
      <w:pPr>
        <w:pBdr>
          <w:bottom w:val="single" w:color="2E75B6" w:sz="6" w:space="1"/>
        </w:pBdr>
        <w:spacing w:after="0"/>
      </w:pPr>
    </w:p>
    <w:p>
      <w:pPr>
        <w:spacing w:after="0" w:before="80"/>
      </w:pPr>
    </w:p>
    <w:p>
      <w:pPr>
        <w:spacing w:after="80" w:before="60"/>
      </w:pPr>
      <w:r>
        <w:rPr>
          <w:rFonts w:ascii="Arial" w:cs="Arial" w:eastAsia="Arial" w:hAnsi="Arial"/>
          <w:color w:val="1A1A1A"/>
          <w:sz w:val="22"/>
          <w:szCs w:val="22"/>
        </w:rPr>
        <w:t xml:space="preserve">The following seven recommendations are ranked by business impact. Each is directly supported by findings from SQL analysis, EDA, statistical testing, and ML feature importance.</w:t>
      </w:r>
    </w:p>
    <w:p>
      <w:pPr>
        <w:spacing w:after="0" w:before="160"/>
      </w:pPr>
    </w:p>
    <w:p>
      <w:pPr>
        <w:pStyle w:val="Heading2"/>
        <w:spacing w:after="80" w:before="200"/>
      </w:pPr>
      <w:r>
        <w:rPr>
          <w:rFonts w:ascii="Arial" w:cs="Arial" w:eastAsia="Arial" w:hAnsi="Arial"/>
          <w:b/>
          <w:bCs/>
          <w:color w:val="2E75B6"/>
          <w:sz w:val="26"/>
          <w:szCs w:val="26"/>
        </w:rPr>
        <w:t xml:space="preserve">Recommendation 1: Improve Product Listings for Fashion and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CRITICAL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Medium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Very High Revenue Impact</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Fashion (8.28%) and Electronics (7.30%) have the highest return rates, both significantly above the 5.52% average. 'Not as described' is the #1 return reason at ₹105,010 revenue loss.</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EDA bivariate analysis, SQL return reason analysis, ML feature importance (category_return_risk ranked #1).</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Mandate standardised product description templates for all Fashion and Electronics listings.</w:t>
      </w:r>
    </w:p>
    <w:p>
      <w:pPr>
        <w:pStyle w:val="ListParagraph"/>
        <w:numPr>
          <w:ilvl w:val="0"/>
          <w:numId w:val="2"/>
        </w:numPr>
        <w:spacing w:after="40" w:before="40"/>
      </w:pPr>
      <w:r>
        <w:rPr>
          <w:rFonts w:ascii="Arial" w:cs="Arial" w:eastAsia="Arial" w:hAnsi="Arial"/>
          <w:color w:val="1A1A1A"/>
          <w:sz w:val="22"/>
          <w:szCs w:val="22"/>
        </w:rPr>
        <w:t xml:space="preserve">Add size guides, fit charts, and measurement tables for all Fashion items.</w:t>
      </w:r>
    </w:p>
    <w:p>
      <w:pPr>
        <w:pStyle w:val="ListParagraph"/>
        <w:numPr>
          <w:ilvl w:val="0"/>
          <w:numId w:val="2"/>
        </w:numPr>
        <w:spacing w:after="40" w:before="40"/>
      </w:pPr>
      <w:r>
        <w:rPr>
          <w:rFonts w:ascii="Arial" w:cs="Arial" w:eastAsia="Arial" w:hAnsi="Arial"/>
          <w:color w:val="1A1A1A"/>
          <w:sz w:val="22"/>
          <w:szCs w:val="22"/>
        </w:rPr>
        <w:t xml:space="preserve">Include 360° product images and video demonstrations for Electronics.</w:t>
      </w:r>
    </w:p>
    <w:p>
      <w:pPr>
        <w:pStyle w:val="ListParagraph"/>
        <w:numPr>
          <w:ilvl w:val="0"/>
          <w:numId w:val="2"/>
        </w:numPr>
        <w:spacing w:after="40" w:before="40"/>
      </w:pPr>
      <w:r>
        <w:rPr>
          <w:rFonts w:ascii="Arial" w:cs="Arial" w:eastAsia="Arial" w:hAnsi="Arial"/>
          <w:color w:val="1A1A1A"/>
          <w:sz w:val="22"/>
          <w:szCs w:val="22"/>
        </w:rPr>
        <w:t xml:space="preserve">Implement a pre-listing accuracy checklist verified by a product team member.</w:t>
      </w:r>
    </w:p>
    <w:p>
      <w:pPr>
        <w:pStyle w:val="ListParagraph"/>
        <w:numPr>
          <w:ilvl w:val="0"/>
          <w:numId w:val="2"/>
        </w:numPr>
        <w:spacing w:after="40" w:before="40"/>
      </w:pPr>
      <w:r>
        <w:rPr>
          <w:rFonts w:ascii="Arial" w:cs="Arial" w:eastAsia="Arial" w:hAnsi="Arial"/>
          <w:color w:val="1A1A1A"/>
          <w:sz w:val="22"/>
          <w:szCs w:val="22"/>
        </w:rPr>
        <w:t xml:space="preserve">Flag products with more than 3 'Not as described' returns for immediate listing review.</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Very High Revenue Impact — fashion (8</w:t>
      </w:r>
    </w:p>
    <w:p>
      <w:pPr>
        <w:spacing w:after="0" w:before="80"/>
      </w:pPr>
    </w:p>
    <w:p>
      <w:pPr>
        <w:pBdr>
          <w:bottom w:val="single" w:color="2E75B6" w:sz="6" w:space="1"/>
        </w:pBdr>
        <w:spacing w:after="0"/>
      </w:pPr>
    </w:p>
    <w:p>
      <w:pPr>
        <w:spacing w:after="0" w:before="80"/>
      </w:pPr>
    </w:p>
    <w:p>
      <w:pPr>
        <w:pStyle w:val="Heading2"/>
        <w:spacing w:after="80" w:before="200"/>
      </w:pPr>
      <w:r>
        <w:rPr>
          <w:rFonts w:ascii="Arial" w:cs="Arial" w:eastAsia="Arial" w:hAnsi="Arial"/>
          <w:b/>
          <w:bCs/>
          <w:color w:val="2E75B6"/>
          <w:sz w:val="26"/>
          <w:szCs w:val="26"/>
        </w:rPr>
        <w:t xml:space="preserve">Recommendation 2: Strengthen Quality Control to Reduce Defective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CRITICAL</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High Revenue and Margin Impact</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Defective products account for 465 returns and ₹91,000+ in revenue loss — the third largest financial impact category.</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SQL return reason financial analysis; product-related issues collectively account for over 98% of return-related losses.</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Introduce pre-shipment quality inspection for Fashion and Electronics orders.</w:t>
      </w:r>
    </w:p>
    <w:p>
      <w:pPr>
        <w:pStyle w:val="ListParagraph"/>
        <w:numPr>
          <w:ilvl w:val="0"/>
          <w:numId w:val="2"/>
        </w:numPr>
        <w:spacing w:after="40" w:before="40"/>
      </w:pPr>
      <w:r>
        <w:rPr>
          <w:rFonts w:ascii="Arial" w:cs="Arial" w:eastAsia="Arial" w:hAnsi="Arial"/>
          <w:color w:val="1A1A1A"/>
          <w:sz w:val="22"/>
          <w:szCs w:val="22"/>
        </w:rPr>
        <w:t xml:space="preserve">Track defect rates by product SKU and supplier to identify recurring quality issues.</w:t>
      </w:r>
    </w:p>
    <w:p>
      <w:pPr>
        <w:pStyle w:val="ListParagraph"/>
        <w:numPr>
          <w:ilvl w:val="0"/>
          <w:numId w:val="2"/>
        </w:numPr>
        <w:spacing w:after="40" w:before="40"/>
      </w:pPr>
      <w:r>
        <w:rPr>
          <w:rFonts w:ascii="Arial" w:cs="Arial" w:eastAsia="Arial" w:hAnsi="Arial"/>
          <w:color w:val="1A1A1A"/>
          <w:sz w:val="22"/>
          <w:szCs w:val="22"/>
        </w:rPr>
        <w:t xml:space="preserve">Implement a supplier scorecard with return rate as a key performance metric.</w:t>
      </w:r>
    </w:p>
    <w:p>
      <w:pPr>
        <w:pStyle w:val="ListParagraph"/>
        <w:numPr>
          <w:ilvl w:val="0"/>
          <w:numId w:val="2"/>
        </w:numPr>
        <w:spacing w:after="40" w:before="40"/>
      </w:pPr>
      <w:r>
        <w:rPr>
          <w:rFonts w:ascii="Arial" w:cs="Arial" w:eastAsia="Arial" w:hAnsi="Arial"/>
          <w:color w:val="1A1A1A"/>
          <w:sz w:val="22"/>
          <w:szCs w:val="22"/>
        </w:rPr>
        <w:t xml:space="preserve">Set a threshold: products exceeding 3% defect-related return rate trigger supplier review.</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High Revenue and Margin Impact — defective products account for 465 returns and ₹91,000+ in revenue loss — the third largest financial impact category</w:t>
      </w:r>
    </w:p>
    <w:p>
      <w:pPr>
        <w:spacing w:after="0" w:before="80"/>
      </w:pPr>
    </w:p>
    <w:p>
      <w:pPr>
        <w:pBdr>
          <w:bottom w:val="single" w:color="2E75B6" w:sz="6" w:space="1"/>
        </w:pBdr>
        <w:spacing w:after="0"/>
      </w:pPr>
    </w:p>
    <w:p>
      <w:pPr>
        <w:spacing w:after="0" w:before="80"/>
      </w:pPr>
    </w:p>
    <w:p>
      <w:pPr>
        <w:pStyle w:val="Heading2"/>
        <w:spacing w:after="80" w:before="200"/>
      </w:pPr>
      <w:r>
        <w:rPr>
          <w:rFonts w:ascii="Arial" w:cs="Arial" w:eastAsia="Arial" w:hAnsi="Arial"/>
          <w:b/>
          <w:bCs/>
          <w:color w:val="2E75B6"/>
          <w:sz w:val="26"/>
          <w:szCs w:val="26"/>
        </w:rPr>
        <w:t xml:space="preserve">Recommendation 3: Improve Warehouse Fulfilment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Medium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High Revenue Impact</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'Missing / Wrong item' returns account for 439 orders and ₹89,000+ in revenue loss. Wrong item returns also show higher profit impact than defective items, suggesting premium products are frequently mispicked.</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SQL return reason analysis; financial impact by return reason table.</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Implement barcode scan verification at the packing stage before dispatch.</w:t>
      </w:r>
    </w:p>
    <w:p>
      <w:pPr>
        <w:pStyle w:val="ListParagraph"/>
        <w:numPr>
          <w:ilvl w:val="0"/>
          <w:numId w:val="2"/>
        </w:numPr>
        <w:spacing w:after="40" w:before="40"/>
      </w:pPr>
      <w:r>
        <w:rPr>
          <w:rFonts w:ascii="Arial" w:cs="Arial" w:eastAsia="Arial" w:hAnsi="Arial"/>
          <w:color w:val="1A1A1A"/>
          <w:sz w:val="22"/>
          <w:szCs w:val="22"/>
        </w:rPr>
        <w:t xml:space="preserve">Track picking error rates by warehouse shift and operator to identify patterns.</w:t>
      </w:r>
    </w:p>
    <w:p>
      <w:pPr>
        <w:pStyle w:val="ListParagraph"/>
        <w:numPr>
          <w:ilvl w:val="0"/>
          <w:numId w:val="2"/>
        </w:numPr>
        <w:spacing w:after="40" w:before="40"/>
      </w:pPr>
      <w:r>
        <w:rPr>
          <w:rFonts w:ascii="Arial" w:cs="Arial" w:eastAsia="Arial" w:hAnsi="Arial"/>
          <w:color w:val="1A1A1A"/>
          <w:sz w:val="22"/>
          <w:szCs w:val="22"/>
        </w:rPr>
        <w:t xml:space="preserve">Introduce a double-check process for high-value orders (above ₹500).</w:t>
      </w:r>
    </w:p>
    <w:p>
      <w:pPr>
        <w:pStyle w:val="ListParagraph"/>
        <w:numPr>
          <w:ilvl w:val="0"/>
          <w:numId w:val="2"/>
        </w:numPr>
        <w:spacing w:after="40" w:before="40"/>
      </w:pPr>
      <w:r>
        <w:rPr>
          <w:rFonts w:ascii="Arial" w:cs="Arial" w:eastAsia="Arial" w:hAnsi="Arial"/>
          <w:color w:val="1A1A1A"/>
          <w:sz w:val="22"/>
          <w:szCs w:val="22"/>
        </w:rPr>
        <w:t xml:space="preserve">Set a monthly fulfilment accuracy target and monitor against it in the operations dashboard.</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High Revenue Impact — 'missing / wrong item' returns account for 439 orders and ₹89,000+ in revenue loss</w:t>
      </w:r>
    </w:p>
    <w:p>
      <w:pPr>
        <w:spacing w:after="0" w:before="80"/>
      </w:pPr>
    </w:p>
    <w:p>
      <w:pPr>
        <w:pBdr>
          <w:bottom w:val="single" w:color="2E75B6" w:sz="6" w:space="1"/>
        </w:pBdr>
        <w:spacing w:after="0"/>
      </w:pPr>
    </w:p>
    <w:p>
      <w:pPr>
        <w:spacing w:after="0" w:before="80"/>
      </w:pPr>
    </w:p>
    <w:p>
      <w:pPr>
        <w:pStyle w:val="Heading2"/>
        <w:spacing w:after="80" w:before="200"/>
      </w:pPr>
      <w:r>
        <w:rPr>
          <w:rFonts w:ascii="Arial" w:cs="Arial" w:eastAsia="Arial" w:hAnsi="Arial"/>
          <w:b/>
          <w:bCs/>
          <w:color w:val="2E75B6"/>
          <w:sz w:val="26"/>
          <w:szCs w:val="26"/>
        </w:rPr>
        <w:t xml:space="preserve">Recommendation 4: Monitor and Address East Region Return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Medium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Medium-High Revenue Impact</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The East region consistently shows the highest return rate (5.91%) across multiple product categories, particularly Electronics at 8.48% — the highest category-region combination after Fashion North.</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SQL region analysis; EDA category-region heatmap showing East as a consistent hotspot.</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Conduct a root-cause audit of East region fulfilment operations.</w:t>
      </w:r>
    </w:p>
    <w:p>
      <w:pPr>
        <w:pStyle w:val="ListParagraph"/>
        <w:numPr>
          <w:ilvl w:val="0"/>
          <w:numId w:val="2"/>
        </w:numPr>
        <w:spacing w:after="40" w:before="40"/>
      </w:pPr>
      <w:r>
        <w:rPr>
          <w:rFonts w:ascii="Arial" w:cs="Arial" w:eastAsia="Arial" w:hAnsi="Arial"/>
          <w:color w:val="1A1A1A"/>
          <w:sz w:val="22"/>
          <w:szCs w:val="22"/>
        </w:rPr>
        <w:t xml:space="preserve">Compare East vs other regions on wrong item rate, damage rate, and carrier performance.</w:t>
      </w:r>
    </w:p>
    <w:p>
      <w:pPr>
        <w:pStyle w:val="ListParagraph"/>
        <w:numPr>
          <w:ilvl w:val="0"/>
          <w:numId w:val="2"/>
        </w:numPr>
        <w:spacing w:after="40" w:before="40"/>
      </w:pPr>
      <w:r>
        <w:rPr>
          <w:rFonts w:ascii="Arial" w:cs="Arial" w:eastAsia="Arial" w:hAnsi="Arial"/>
          <w:color w:val="1A1A1A"/>
          <w:sz w:val="22"/>
          <w:szCs w:val="22"/>
        </w:rPr>
        <w:t xml:space="preserve">Review East region carrier SLAs and packaging standards.</w:t>
      </w:r>
    </w:p>
    <w:p>
      <w:pPr>
        <w:pStyle w:val="ListParagraph"/>
        <w:numPr>
          <w:ilvl w:val="0"/>
          <w:numId w:val="2"/>
        </w:numPr>
        <w:spacing w:after="40" w:before="40"/>
      </w:pPr>
      <w:r>
        <w:rPr>
          <w:rFonts w:ascii="Arial" w:cs="Arial" w:eastAsia="Arial" w:hAnsi="Arial"/>
          <w:color w:val="1A1A1A"/>
          <w:sz w:val="22"/>
          <w:szCs w:val="22"/>
        </w:rPr>
        <w:t xml:space="preserve">Implement region-specific return tracking dashboard for monthly monitoring.</w:t>
      </w:r>
    </w:p>
    <w:p>
      <w:pPr>
        <w:pStyle w:val="ListParagraph"/>
        <w:numPr>
          <w:ilvl w:val="0"/>
          <w:numId w:val="2"/>
        </w:numPr>
        <w:spacing w:after="40" w:before="40"/>
      </w:pPr>
      <w:r>
        <w:rPr>
          <w:rFonts w:ascii="Arial" w:cs="Arial" w:eastAsia="Arial" w:hAnsi="Arial"/>
          <w:color w:val="1A1A1A"/>
          <w:sz w:val="22"/>
          <w:szCs w:val="22"/>
        </w:rPr>
        <w:t xml:space="preserve">Investigate whether category mix in East (higher Electronics proportion) explains the elevated rate.</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Medium-High Revenue Impact — the east region consistently shows the highest return rate (5</w:t>
      </w:r>
    </w:p>
    <w:p>
      <w:pPr>
        <w:spacing w:after="0" w:before="80"/>
      </w:pPr>
    </w:p>
    <w:p>
      <w:pPr>
        <w:pBdr>
          <w:bottom w:val="single" w:color="2E75B6" w:sz="6" w:space="1"/>
        </w:pBdr>
        <w:spacing w:after="0"/>
      </w:pPr>
    </w:p>
    <w:p>
      <w:pPr>
        <w:spacing w:after="0" w:before="80"/>
      </w:pPr>
    </w:p>
    <w:p>
      <w:pPr>
        <w:pStyle w:val="Heading2"/>
        <w:spacing w:after="80" w:before="200"/>
      </w:pPr>
      <w:r>
        <w:rPr>
          <w:rFonts w:ascii="Arial" w:cs="Arial" w:eastAsia="Arial" w:hAnsi="Arial"/>
          <w:b/>
          <w:bCs/>
          <w:color w:val="2E75B6"/>
          <w:sz w:val="26"/>
          <w:szCs w:val="26"/>
        </w:rPr>
        <w:t xml:space="preserve">Recommendation 5: Prioritise Return Prevention for High-Value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Low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High Financial Exposure Reduction</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Returned orders have a significantly higher average order value (₹204.29) vs non-returned (₹168.01), confirmed statistically (p &lt; 0.001). Electronics returned orders average ₹543.46 — the highest of any category.</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EDA bivariate analysis (Mann-Whitney U p &lt; 0.001); multivariate average order value by category table.</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Add a pre-purchase checklist prompt for orders above ₹500 — 'Does this match your requirements?'</w:t>
      </w:r>
    </w:p>
    <w:p>
      <w:pPr>
        <w:pStyle w:val="ListParagraph"/>
        <w:numPr>
          <w:ilvl w:val="0"/>
          <w:numId w:val="2"/>
        </w:numPr>
        <w:spacing w:after="40" w:before="40"/>
      </w:pPr>
      <w:r>
        <w:rPr>
          <w:rFonts w:ascii="Arial" w:cs="Arial" w:eastAsia="Arial" w:hAnsi="Arial"/>
          <w:color w:val="1A1A1A"/>
          <w:sz w:val="22"/>
          <w:szCs w:val="22"/>
        </w:rPr>
        <w:t xml:space="preserve">Provide enhanced product support (live chat, specification comparison) for premium items.</w:t>
      </w:r>
    </w:p>
    <w:p>
      <w:pPr>
        <w:pStyle w:val="ListParagraph"/>
        <w:numPr>
          <w:ilvl w:val="0"/>
          <w:numId w:val="2"/>
        </w:numPr>
        <w:spacing w:after="40" w:before="40"/>
      </w:pPr>
      <w:r>
        <w:rPr>
          <w:rFonts w:ascii="Arial" w:cs="Arial" w:eastAsia="Arial" w:hAnsi="Arial"/>
          <w:color w:val="1A1A1A"/>
          <w:sz w:val="22"/>
          <w:szCs w:val="22"/>
        </w:rPr>
        <w:t xml:space="preserve">Include a personalised packing note and quality assurance card for high-value orders.</w:t>
      </w:r>
    </w:p>
    <w:p>
      <w:pPr>
        <w:pStyle w:val="ListParagraph"/>
        <w:numPr>
          <w:ilvl w:val="0"/>
          <w:numId w:val="2"/>
        </w:numPr>
        <w:spacing w:after="40" w:before="40"/>
      </w:pPr>
      <w:r>
        <w:rPr>
          <w:rFonts w:ascii="Arial" w:cs="Arial" w:eastAsia="Arial" w:hAnsi="Arial"/>
          <w:color w:val="1A1A1A"/>
          <w:sz w:val="22"/>
          <w:szCs w:val="22"/>
        </w:rPr>
        <w:t xml:space="preserve">Flag high-value returns for manual root-cause review rather than automated processing.</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High Financial Exposure Reduction — returned orders have a significantly higher average order value (₹204</w:t>
      </w:r>
    </w:p>
    <w:p>
      <w:pPr>
        <w:spacing w:after="0" w:before="80"/>
      </w:pPr>
    </w:p>
    <w:p>
      <w:pPr>
        <w:pBdr>
          <w:bottom w:val="single" w:color="2E75B6" w:sz="6" w:space="1"/>
        </w:pBdr>
        <w:spacing w:after="0"/>
      </w:pPr>
    </w:p>
    <w:p>
      <w:pPr>
        <w:spacing w:after="0" w:before="80"/>
      </w:pPr>
    </w:p>
    <w:p>
      <w:pPr>
        <w:pStyle w:val="Heading2"/>
        <w:spacing w:after="80" w:before="200"/>
      </w:pPr>
      <w:r>
        <w:rPr>
          <w:rFonts w:ascii="Arial" w:cs="Arial" w:eastAsia="Arial" w:hAnsi="Arial"/>
          <w:b/>
          <w:bCs/>
          <w:color w:val="2E75B6"/>
          <w:sz w:val="26"/>
          <w:szCs w:val="26"/>
        </w:rPr>
        <w:t xml:space="preserve">Recommendation 6: Re-evaluate Grocery Category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Profitability Improvement</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Grocery has the lowest return rate (1.31%) but a consistently negative average profit margin (-₹2.26 per order). This is a structural profitability problem unrelated to returns.</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EDA profit margin by category analysis; Grocery is the only category with negative average margin.</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Conduct a Grocery-specific profitability review covering pricing, supplier costs, and logistics.</w:t>
      </w:r>
    </w:p>
    <w:p>
      <w:pPr>
        <w:pStyle w:val="ListParagraph"/>
        <w:numPr>
          <w:ilvl w:val="0"/>
          <w:numId w:val="2"/>
        </w:numPr>
        <w:spacing w:after="40" w:before="40"/>
      </w:pPr>
      <w:r>
        <w:rPr>
          <w:rFonts w:ascii="Arial" w:cs="Arial" w:eastAsia="Arial" w:hAnsi="Arial"/>
          <w:color w:val="1A1A1A"/>
          <w:sz w:val="22"/>
          <w:szCs w:val="22"/>
        </w:rPr>
        <w:t xml:space="preserve">Do NOT focus return reduction efforts on Grocery — returns are not its problem.</w:t>
      </w:r>
    </w:p>
    <w:p>
      <w:pPr>
        <w:pStyle w:val="ListParagraph"/>
        <w:numPr>
          <w:ilvl w:val="0"/>
          <w:numId w:val="2"/>
        </w:numPr>
        <w:spacing w:after="40" w:before="40"/>
      </w:pPr>
      <w:r>
        <w:rPr>
          <w:rFonts w:ascii="Arial" w:cs="Arial" w:eastAsia="Arial" w:hAnsi="Arial"/>
          <w:color w:val="1A1A1A"/>
          <w:sz w:val="22"/>
          <w:szCs w:val="22"/>
        </w:rPr>
        <w:t xml:space="preserve">Evaluate whether Grocery pricing needs restructuring or whether loss-leading is intentional strategy.</w:t>
      </w:r>
    </w:p>
    <w:p>
      <w:pPr>
        <w:pStyle w:val="ListParagraph"/>
        <w:numPr>
          <w:ilvl w:val="0"/>
          <w:numId w:val="2"/>
        </w:numPr>
        <w:spacing w:after="40" w:before="40"/>
      </w:pPr>
      <w:r>
        <w:rPr>
          <w:rFonts w:ascii="Arial" w:cs="Arial" w:eastAsia="Arial" w:hAnsi="Arial"/>
          <w:color w:val="1A1A1A"/>
          <w:sz w:val="22"/>
          <w:szCs w:val="22"/>
        </w:rPr>
        <w:t xml:space="preserve">Use Grocery as a benchmark for low-return category management (clear expectations, simple products).</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Profitability Improvement — grocery has the lowest return rate (1</w:t>
      </w:r>
    </w:p>
    <w:p>
      <w:pPr>
        <w:spacing w:after="0" w:before="80"/>
      </w:pPr>
    </w:p>
    <w:p>
      <w:pPr>
        <w:pBdr>
          <w:bottom w:val="single" w:color="2E75B6" w:sz="6" w:space="1"/>
        </w:pBdr>
        <w:spacing w:after="0"/>
      </w:pPr>
    </w:p>
    <w:p>
      <w:pPr>
        <w:spacing w:after="0" w:before="80"/>
      </w:pPr>
    </w:p>
    <w:p>
      <w:pPr>
        <w:pStyle w:val="Heading2"/>
        <w:spacing w:after="80" w:before="200"/>
      </w:pPr>
      <w:r>
        <w:rPr>
          <w:rFonts w:ascii="Arial" w:cs="Arial" w:eastAsia="Arial" w:hAnsi="Arial"/>
          <w:b/>
          <w:bCs/>
          <w:color w:val="2E75B6"/>
          <w:sz w:val="26"/>
          <w:szCs w:val="26"/>
        </w:rPr>
        <w:t xml:space="preserve">Recommendation 7: Do Not Over-Invest in Delivery Speed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Priority: HIGH</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Effort: Low</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Impact: Cost Avoidance — Redirected Investment</w:t>
            </w:r>
          </w:p>
        </w:tc>
      </w:tr>
    </w:tbl>
    <w:p>
      <w:pPr>
        <w:spacing w:after="0" w:before="80"/>
      </w:pPr>
    </w:p>
    <w:p>
      <w:pPr>
        <w:spacing w:after="40" w:before="60"/>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Delivery days show no statistically significant difference between returned and non-returned orders (p = 0.411). Slow delivery accounts for only 28 returns and ₹5,658 revenue loss — less than 2% of total return-related losses.</w:t>
      </w:r>
    </w:p>
    <w:p>
      <w:pPr>
        <w:spacing w:after="40" w:before="40"/>
      </w:pPr>
      <w:r>
        <w:rPr>
          <w:rFonts w:ascii="Arial" w:cs="Arial" w:eastAsia="Arial" w:hAnsi="Arial"/>
          <w:b/>
          <w:bCs/>
          <w:color w:val="1A1A1A"/>
          <w:sz w:val="22"/>
          <w:szCs w:val="22"/>
        </w:rPr>
        <w:t xml:space="preserve">Evidence: </w:t>
      </w:r>
      <w:r>
        <w:rPr>
          <w:rFonts w:ascii="Arial" w:cs="Arial" w:eastAsia="Arial" w:hAnsi="Arial"/>
          <w:color w:val="1A1A1A"/>
          <w:sz w:val="22"/>
          <w:szCs w:val="22"/>
        </w:rPr>
        <w:t xml:space="preserve">EDA statistical validation (Mann-Whitney U p = 0.411); SQL return reason financial analysis; ML feature importance (delivery_speed ranked lowest).</w:t>
      </w:r>
    </w:p>
    <w:p>
      <w:pPr>
        <w:spacing w:after="40" w:before="60"/>
      </w:pPr>
      <w:r>
        <w:rPr>
          <w:rFonts w:ascii="Arial" w:cs="Arial" w:eastAsia="Arial" w:hAnsi="Arial"/>
          <w:b/>
          <w:bCs/>
          <w:color w:val="1A1A1A"/>
          <w:sz w:val="22"/>
          <w:szCs w:val="22"/>
        </w:rPr>
        <w:t xml:space="preserve">Actions:</w:t>
      </w:r>
    </w:p>
    <w:p>
      <w:pPr>
        <w:pStyle w:val="ListParagraph"/>
        <w:numPr>
          <w:ilvl w:val="0"/>
          <w:numId w:val="2"/>
        </w:numPr>
        <w:spacing w:after="40" w:before="40"/>
      </w:pPr>
      <w:r>
        <w:rPr>
          <w:rFonts w:ascii="Arial" w:cs="Arial" w:eastAsia="Arial" w:hAnsi="Arial"/>
          <w:color w:val="1A1A1A"/>
          <w:sz w:val="22"/>
          <w:szCs w:val="22"/>
        </w:rPr>
        <w:t xml:space="preserve">Redirect budget allocated to delivery speed improvements toward product quality and fulfilment accuracy.</w:t>
      </w:r>
    </w:p>
    <w:p>
      <w:pPr>
        <w:pStyle w:val="ListParagraph"/>
        <w:numPr>
          <w:ilvl w:val="0"/>
          <w:numId w:val="2"/>
        </w:numPr>
        <w:spacing w:after="40" w:before="40"/>
      </w:pPr>
      <w:r>
        <w:rPr>
          <w:rFonts w:ascii="Arial" w:cs="Arial" w:eastAsia="Arial" w:hAnsi="Arial"/>
          <w:color w:val="1A1A1A"/>
          <w:sz w:val="22"/>
          <w:szCs w:val="22"/>
        </w:rPr>
        <w:t xml:space="preserve">Maintain current delivery SLA (median 5 days) without accelerating — it is not driving returns.</w:t>
      </w:r>
    </w:p>
    <w:p>
      <w:pPr>
        <w:pStyle w:val="ListParagraph"/>
        <w:numPr>
          <w:ilvl w:val="0"/>
          <w:numId w:val="2"/>
        </w:numPr>
        <w:spacing w:after="40" w:before="40"/>
      </w:pPr>
      <w:r>
        <w:rPr>
          <w:rFonts w:ascii="Arial" w:cs="Arial" w:eastAsia="Arial" w:hAnsi="Arial"/>
          <w:color w:val="1A1A1A"/>
          <w:sz w:val="22"/>
          <w:szCs w:val="22"/>
        </w:rPr>
        <w:t xml:space="preserve">If delivery investment is being considered, prioritise reliability over speed.</w:t>
      </w:r>
    </w:p>
    <w:p>
      <w:pPr>
        <w:pStyle w:val="ListParagraph"/>
        <w:numPr>
          <w:ilvl w:val="0"/>
          <w:numId w:val="2"/>
        </w:numPr>
        <w:spacing w:after="40" w:before="40"/>
      </w:pPr>
      <w:r>
        <w:rPr>
          <w:rFonts w:ascii="Arial" w:cs="Arial" w:eastAsia="Arial" w:hAnsi="Arial"/>
          <w:color w:val="1A1A1A"/>
          <w:sz w:val="22"/>
          <w:szCs w:val="22"/>
        </w:rPr>
        <w:t xml:space="preserve">Communicate current delivery timelines clearly at checkout to manage expectations.</w:t>
      </w:r>
    </w:p>
    <w:p>
      <w:pPr>
        <w:spacing w:after="80" w:before="60"/>
      </w:pPr>
      <w:r>
        <w:rPr>
          <w:rFonts w:ascii="Arial" w:cs="Arial" w:eastAsia="Arial" w:hAnsi="Arial"/>
          <w:b/>
          <w:bCs/>
          <w:color w:val="1A1A1A"/>
          <w:sz w:val="22"/>
          <w:szCs w:val="22"/>
        </w:rPr>
        <w:t xml:space="preserve">Expected Impact: </w:t>
      </w:r>
      <w:r>
        <w:rPr>
          <w:rFonts w:ascii="Arial" w:cs="Arial" w:eastAsia="Arial" w:hAnsi="Arial"/>
          <w:color w:val="1A1A1A"/>
          <w:sz w:val="22"/>
          <w:szCs w:val="22"/>
        </w:rPr>
        <w:t xml:space="preserve">Cost Avoidance — Redirected Investment — delivery days show no statistically significant difference between returned and non-returned orders (p = 0</w:t>
      </w:r>
    </w:p>
    <w:p>
      <w:pPr>
        <w:spacing w:after="0" w:before="80"/>
      </w:pPr>
    </w:p>
    <w:p>
      <w:pPr>
        <w:pBdr>
          <w:bottom w:val="single" w:color="2E75B6" w:sz="6" w:space="1"/>
        </w:pBdr>
        <w:spacing w:after="0"/>
      </w:pPr>
    </w:p>
    <w:p>
      <w:pPr>
        <w:spacing w:after="0" w:before="80"/>
      </w:pPr>
    </w:p>
    <w:p>
      <w:r>
        <w:br w:type="page"/>
      </w:r>
    </w:p>
    <w:p>
      <w:pPr>
        <w:pStyle w:val="Heading1"/>
        <w:spacing w:after="120" w:before="320"/>
      </w:pPr>
      <w:r>
        <w:rPr>
          <w:rFonts w:ascii="Arial" w:cs="Arial" w:eastAsia="Arial" w:hAnsi="Arial"/>
          <w:b/>
          <w:bCs/>
          <w:color w:val="1F4E79"/>
          <w:sz w:val="32"/>
          <w:szCs w:val="32"/>
        </w:rPr>
        <w:t xml:space="preserve">4. Priority Matrix</w:t>
      </w:r>
    </w:p>
    <w:p>
      <w:pPr>
        <w:pBdr>
          <w:bottom w:val="single" w:color="2E75B6" w:sz="6" w:space="1"/>
        </w:pBdr>
        <w:spacing w:after="0"/>
      </w:pPr>
    </w:p>
    <w:p>
      <w:pPr>
        <w:spacing w:after="0" w:before="120"/>
      </w:pPr>
    </w:p>
    <w:p>
      <w:pPr>
        <w:spacing w:after="80" w:before="60"/>
      </w:pPr>
      <w:r>
        <w:rPr>
          <w:rFonts w:ascii="Arial" w:cs="Arial" w:eastAsia="Arial" w:hAnsi="Arial"/>
          <w:color w:val="1A1A1A"/>
          <w:sz w:val="22"/>
          <w:szCs w:val="22"/>
        </w:rPr>
        <w:t xml:space="preserve">The following matrix summarises all seven recommendations by business impact and implementation effort. Recommendations in the top-left quadrant deliver the highest return for the least investment and should be actioned first.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 EFFORT</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 EFFORT</w:t>
            </w:r>
          </w:p>
        </w:tc>
      </w:tr>
      <w:tr>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62828"/>
                <w:sz w:val="20"/>
                <w:szCs w:val="20"/>
              </w:rPr>
              <w:t xml:space="preserve">HIGH IMPACT</w:t>
            </w:r>
          </w:p>
        </w:tc>
        <w:tc>
          <w:tcPr>
            <w:tcW w:type="dxa" w:w="390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2E7D32"/>
                <w:sz w:val="18"/>
                <w:szCs w:val="18"/>
              </w:rPr>
              <w:t xml:space="preserve">START HERE</w:t>
            </w:r>
          </w:p>
          <w:p>
            <w:pPr>
              <w:spacing w:after="40" w:before="0"/>
            </w:pPr>
            <w:r>
              <w:rPr>
                <w:rFonts w:ascii="Arial" w:cs="Arial" w:eastAsia="Arial" w:hAnsi="Arial"/>
                <w:color w:val="1A1A1A"/>
                <w:sz w:val="20"/>
                <w:szCs w:val="20"/>
              </w:rPr>
              <w:t xml:space="preserve">R5: High-value order prevention</w:t>
            </w:r>
          </w:p>
          <w:p>
            <w:pPr>
              <w:spacing w:after="40" w:before="0"/>
            </w:pPr>
            <w:r>
              <w:rPr>
                <w:rFonts w:ascii="Arial" w:cs="Arial" w:eastAsia="Arial" w:hAnsi="Arial"/>
                <w:color w:val="1A1A1A"/>
                <w:sz w:val="20"/>
                <w:szCs w:val="20"/>
              </w:rPr>
              <w:t xml:space="preserve">R7: Redirect delivery budget</w:t>
            </w:r>
          </w:p>
          <w:p>
            <w:pPr>
              <w:spacing w:after="0" w:before="0"/>
            </w:pPr>
            <w:r>
              <w:rPr>
                <w:rFonts w:ascii="Arial" w:cs="Arial" w:eastAsia="Arial" w:hAnsi="Arial"/>
                <w:color w:val="1A1A1A"/>
                <w:sz w:val="20"/>
                <w:szCs w:val="20"/>
              </w:rPr>
              <w:t xml:space="preserve">R1: Product listing improvements</w:t>
            </w:r>
          </w:p>
        </w:tc>
        <w:tc>
          <w:tcPr>
            <w:tcW w:type="dxa" w:w="390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before="0"/>
            </w:pPr>
            <w:r>
              <w:rPr>
                <w:rFonts w:ascii="Arial" w:cs="Arial" w:eastAsia="Arial" w:hAnsi="Arial"/>
                <w:b/>
                <w:bCs/>
                <w:color w:val="E65100"/>
                <w:sz w:val="18"/>
                <w:szCs w:val="18"/>
              </w:rPr>
              <w:t xml:space="preserve">PLAN &amp; INVEST</w:t>
            </w:r>
          </w:p>
          <w:p>
            <w:pPr>
              <w:spacing w:after="40" w:before="0"/>
            </w:pPr>
            <w:r>
              <w:rPr>
                <w:rFonts w:ascii="Arial" w:cs="Arial" w:eastAsia="Arial" w:hAnsi="Arial"/>
                <w:color w:val="1A1A1A"/>
                <w:sz w:val="20"/>
                <w:szCs w:val="20"/>
              </w:rPr>
              <w:t xml:space="preserve">R2: Quality control strengthening</w:t>
            </w:r>
          </w:p>
          <w:p>
            <w:pPr>
              <w:spacing w:after="0" w:before="0"/>
            </w:pPr>
            <w:r>
              <w:rPr>
                <w:rFonts w:ascii="Arial" w:cs="Arial" w:eastAsia="Arial" w:hAnsi="Arial"/>
                <w:color w:val="1A1A1A"/>
                <w:sz w:val="20"/>
                <w:szCs w:val="20"/>
              </w:rPr>
              <w:t xml:space="preserve">R3: Warehouse fulfilment accuracy</w:t>
            </w:r>
          </w:p>
        </w:tc>
      </w:tr>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20"/>
                <w:szCs w:val="20"/>
              </w:rPr>
              <w:t xml:space="preserve">MEDIUM IMPACT</w:t>
            </w:r>
          </w:p>
        </w:tc>
        <w:tc>
          <w:tcPr>
            <w:tcW w:type="dxa" w:w="39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0"/>
            </w:pPr>
            <w:r>
              <w:rPr>
                <w:rFonts w:ascii="Arial" w:cs="Arial" w:eastAsia="Arial" w:hAnsi="Arial"/>
                <w:color w:val="1A1A1A"/>
                <w:sz w:val="20"/>
                <w:szCs w:val="20"/>
              </w:rPr>
              <w:t xml:space="preserve">R4: East region monitoring</w:t>
            </w:r>
          </w:p>
        </w:tc>
        <w:tc>
          <w:tcPr>
            <w:tcW w:type="dxa" w:w="39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0"/>
            </w:pPr>
            <w:r>
              <w:rPr>
                <w:rFonts w:ascii="Arial" w:cs="Arial" w:eastAsia="Arial" w:hAnsi="Arial"/>
                <w:color w:val="1A1A1A"/>
                <w:sz w:val="20"/>
                <w:szCs w:val="20"/>
              </w:rPr>
              <w:t xml:space="preserve">R6: Grocery strategy review</w:t>
            </w:r>
          </w:p>
        </w:tc>
      </w:tr>
    </w:tbl>
    <w:p>
      <w:r>
        <w:br w:type="page"/>
      </w:r>
    </w:p>
    <w:p>
      <w:pPr>
        <w:pStyle w:val="Heading1"/>
        <w:spacing w:after="120" w:before="320"/>
      </w:pPr>
      <w:r>
        <w:rPr>
          <w:rFonts w:ascii="Arial" w:cs="Arial" w:eastAsia="Arial" w:hAnsi="Arial"/>
          <w:b/>
          <w:bCs/>
          <w:color w:val="1F4E79"/>
          <w:sz w:val="32"/>
          <w:szCs w:val="32"/>
        </w:rPr>
        <w:t xml:space="preserve">5. Implementation Roadmap</w:t>
      </w:r>
    </w:p>
    <w:p>
      <w:pPr>
        <w:pBdr>
          <w:bottom w:val="single" w:color="2E75B6" w:sz="6" w:space="1"/>
        </w:pBdr>
        <w:spacing w:after="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Metric</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Week 1–4
(Quick Wins)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Audit Fashion &amp; Electronics listings</w:t>
            </w:r>
          </w:p>
          <w:p>
            <w:pPr>
              <w:spacing w:after="20" w:before="20"/>
            </w:pPr>
            <w:r>
              <w:rPr>
                <w:rFonts w:ascii="Arial" w:cs="Arial" w:eastAsia="Arial" w:hAnsi="Arial"/>
                <w:sz w:val="20"/>
                <w:szCs w:val="20"/>
              </w:rPr>
              <w:t xml:space="preserve">Add size guides and spec tables</w:t>
            </w:r>
          </w:p>
          <w:p>
            <w:pPr>
              <w:spacing w:after="20" w:before="20"/>
            </w:pPr>
            <w:r>
              <w:rPr>
                <w:rFonts w:ascii="Arial" w:cs="Arial" w:eastAsia="Arial" w:hAnsi="Arial"/>
                <w:sz w:val="20"/>
                <w:szCs w:val="20"/>
              </w:rPr>
              <w:t xml:space="preserve">Flag high-value orders for review</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 &amp; Catalogue Team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 rate in Fashion/Electronics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Month 2–3
(Process)</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20" w:before="20"/>
            </w:pPr>
            <w:r>
              <w:rPr>
                <w:rFonts w:ascii="Arial" w:cs="Arial" w:eastAsia="Arial" w:hAnsi="Arial"/>
                <w:sz w:val="20"/>
                <w:szCs w:val="20"/>
              </w:rPr>
              <w:t xml:space="preserve">Implement barcode scan verification</w:t>
            </w:r>
          </w:p>
          <w:p>
            <w:pPr>
              <w:spacing w:after="20" w:before="20"/>
            </w:pPr>
            <w:r>
              <w:rPr>
                <w:rFonts w:ascii="Arial" w:cs="Arial" w:eastAsia="Arial" w:hAnsi="Arial"/>
                <w:sz w:val="20"/>
                <w:szCs w:val="20"/>
              </w:rPr>
              <w:t xml:space="preserve">East region operational audit</w:t>
            </w:r>
          </w:p>
          <w:p>
            <w:pPr>
              <w:spacing w:after="20" w:before="20"/>
            </w:pPr>
            <w:r>
              <w:rPr>
                <w:rFonts w:ascii="Arial" w:cs="Arial" w:eastAsia="Arial" w:hAnsi="Arial"/>
                <w:sz w:val="20"/>
                <w:szCs w:val="20"/>
              </w:rPr>
              <w:t xml:space="preserve">Launch supplier scorecard</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Operations &amp; Logistics</w:t>
            </w:r>
          </w:p>
        </w:tc>
        <w:tc>
          <w:tcPr>
            <w:tcW w:type="dxa" w:w="25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Wrong item rate; East region return 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Month 4–6
(Strategic)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sz w:val="20"/>
                <w:szCs w:val="20"/>
              </w:rPr>
              <w:t xml:space="preserve">Grocery profitability review</w:t>
            </w:r>
          </w:p>
          <w:p>
            <w:pPr>
              <w:spacing w:after="20" w:before="20"/>
            </w:pPr>
            <w:r>
              <w:rPr>
                <w:rFonts w:ascii="Arial" w:cs="Arial" w:eastAsia="Arial" w:hAnsi="Arial"/>
                <w:sz w:val="20"/>
                <w:szCs w:val="20"/>
              </w:rPr>
              <w:t xml:space="preserve">Pre-shipment QC rollout</w:t>
            </w:r>
          </w:p>
          <w:p>
            <w:pPr>
              <w:spacing w:after="20" w:before="20"/>
            </w:pPr>
            <w:r>
              <w:rPr>
                <w:rFonts w:ascii="Arial" w:cs="Arial" w:eastAsia="Arial" w:hAnsi="Arial"/>
                <w:sz w:val="20"/>
                <w:szCs w:val="20"/>
              </w:rPr>
              <w:t xml:space="preserve">Return monitoring dashboard launch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Category Management &amp; Finance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Grocery margin; defect return rate; overall return rate</w:t>
            </w:r>
          </w:p>
        </w:tc>
      </w:tr>
    </w:tbl>
    <w:p>
      <w:r>
        <w:br w:type="page"/>
      </w:r>
    </w:p>
    <w:p>
      <w:pPr>
        <w:pStyle w:val="Heading1"/>
        <w:spacing w:after="120" w:before="320"/>
      </w:pPr>
      <w:r>
        <w:rPr>
          <w:rFonts w:ascii="Arial" w:cs="Arial" w:eastAsia="Arial" w:hAnsi="Arial"/>
          <w:b/>
          <w:bCs/>
          <w:color w:val="1F4E79"/>
          <w:sz w:val="32"/>
          <w:szCs w:val="32"/>
        </w:rPr>
        <w:t xml:space="preserve">6. Data Limitations and Future Analysis</w:t>
      </w:r>
    </w:p>
    <w:p>
      <w:pPr>
        <w:pBdr>
          <w:bottom w:val="single" w:color="2E75B6" w:sz="6" w:space="1"/>
        </w:pBdr>
        <w:spacing w:after="0"/>
      </w:pPr>
    </w:p>
    <w:p>
      <w:pPr>
        <w:spacing w:after="0" w:before="120"/>
      </w:pPr>
    </w:p>
    <w:p>
      <w:pPr>
        <w:spacing w:after="80" w:before="60"/>
      </w:pPr>
      <w:r>
        <w:rPr>
          <w:rFonts w:ascii="Arial" w:cs="Arial" w:eastAsia="Arial" w:hAnsi="Arial"/>
          <w:color w:val="1A1A1A"/>
          <w:sz w:val="22"/>
          <w:szCs w:val="22"/>
        </w:rPr>
        <w:t xml:space="preserve">The analysis is based on transactional data capturing order-level attributes. The following data gaps, if addressed, would significantly enhance the predictive model and recommendation precision: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Missing Data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Impact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Customer return history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Prior returners are most likely to return again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Likely the strongest single predictor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Product ratings and reviews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Signals customer satisfaction before purchase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Would directly explain 'Not as described' returns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Supplier and SKU-level data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Identify which suppliers drive defective returns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Enables targeted supplier intervention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Fulfilment accuracy by warehouse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Identify which facilities generate wrong-item returns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Enables operations-level fix rather than category-level</w:t>
            </w:r>
          </w:p>
        </w:tc>
      </w:tr>
    </w:tbl>
    <w:p>
      <w:pPr>
        <w:spacing w:after="0" w:before="160"/>
      </w:pPr>
    </w:p>
    <w:p>
      <w:pPr>
        <w:spacing w:after="80" w:before="60"/>
      </w:pPr>
      <w:r>
        <w:rPr>
          <w:rFonts w:ascii="Arial" w:cs="Arial" w:eastAsia="Arial" w:hAnsi="Arial"/>
          <w:color w:val="1A1A1A"/>
          <w:sz w:val="22"/>
          <w:szCs w:val="22"/>
        </w:rPr>
        <w:t xml:space="preserve">The current model achieved a ROC-AUC of 0.61, reflecting that transactional features alone cannot fully predict qualitative return drivers. Enriching the dataset with the above features is expected to significantly improve predictive capability and unlock more granular recommendations.</w:t>
      </w:r>
    </w:p>
    <w:p>
      <w:r>
        <w:br w:type="page"/>
      </w:r>
    </w:p>
    <w:p>
      <w:pPr>
        <w:pStyle w:val="Heading1"/>
        <w:spacing w:after="120" w:before="320"/>
      </w:pPr>
      <w:r>
        <w:rPr>
          <w:rFonts w:ascii="Arial" w:cs="Arial" w:eastAsia="Arial" w:hAnsi="Arial"/>
          <w:b/>
          <w:bCs/>
          <w:color w:val="1F4E79"/>
          <w:sz w:val="32"/>
          <w:szCs w:val="32"/>
        </w:rPr>
        <w:t xml:space="preserve">7. Conclusion</w:t>
      </w:r>
    </w:p>
    <w:p>
      <w:pPr>
        <w:pBdr>
          <w:bottom w:val="single" w:color="2E75B6" w:sz="6" w:space="1"/>
        </w:pBdr>
        <w:spacing w:after="0"/>
      </w:pPr>
    </w:p>
    <w:p>
      <w:pPr>
        <w:spacing w:after="0" w:before="120"/>
      </w:pPr>
    </w:p>
    <w:p>
      <w:pPr>
        <w:spacing w:after="80" w:before="60"/>
      </w:pPr>
      <w:r>
        <w:rPr>
          <w:rFonts w:ascii="Arial" w:cs="Arial" w:eastAsia="Arial" w:hAnsi="Arial"/>
          <w:color w:val="1A1A1A"/>
          <w:sz w:val="22"/>
          <w:szCs w:val="22"/>
        </w:rPr>
        <w:t xml:space="preserve">This analysis demonstrates that product return rates in this e-commerce operation are driven primarily by product quality, customer expectation mismatch, and fulfilment accuracy — not by delivery speed, discount levels, or customer demographics.</w:t>
      </w:r>
    </w:p>
    <w:p>
      <w:pPr>
        <w:spacing w:after="0" w:before="80"/>
      </w:pPr>
    </w:p>
    <w:p>
      <w:pPr>
        <w:spacing w:after="80" w:before="60"/>
      </w:pPr>
      <w:r>
        <w:rPr>
          <w:rFonts w:ascii="Arial" w:cs="Arial" w:eastAsia="Arial" w:hAnsi="Arial"/>
          <w:color w:val="1A1A1A"/>
          <w:sz w:val="22"/>
          <w:szCs w:val="22"/>
        </w:rPr>
        <w:t xml:space="preserve">The data consistently shows that Fashion and Electronics are the highest-risk categories, 'Not as described' is the costliest return reason, and high-value orders carry disproportionate financial exposure when returned. Statistical testing reinforces these findings: price, order value, and profit margin all differ significantly between returned and non-returned orders, while delivery days and discounts do not.</w:t>
      </w:r>
    </w:p>
    <w:p>
      <w:pPr>
        <w:spacing w:after="0" w:before="80"/>
      </w:pPr>
    </w:p>
    <w:p>
      <w:pPr>
        <w:spacing w:after="80" w:before="60"/>
      </w:pPr>
      <w:r>
        <w:rPr>
          <w:rFonts w:ascii="Arial" w:cs="Arial" w:eastAsia="Arial" w:hAnsi="Arial"/>
          <w:color w:val="1A1A1A"/>
          <w:sz w:val="22"/>
          <w:szCs w:val="22"/>
        </w:rPr>
        <w:t xml:space="preserve">Implementing the seven recommendations in this report — beginning with product listing improvements and warehouse fulfilment accuracy — is expected to produce measurable reductions in return rates within the first quarter. Longer-term investments in quality control and Grocery category restructuring will protect overall profitability beyond return reduction alone.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after="80" w:before="0"/>
            </w:pPr>
            <w:r>
              <w:rPr>
                <w:rFonts w:ascii="Arial" w:cs="Arial" w:eastAsia="Arial" w:hAnsi="Arial"/>
                <w:b/>
                <w:bCs/>
                <w:color w:val="1F4E79"/>
                <w:sz w:val="24"/>
                <w:szCs w:val="24"/>
              </w:rPr>
              <w:t xml:space="preserve">Bottom Line</w:t>
            </w:r>
          </w:p>
          <w:p>
            <w:pPr>
              <w:spacing w:after="0" w:before="0"/>
            </w:pPr>
            <w:r>
              <w:rPr>
                <w:rFonts w:ascii="Arial" w:cs="Arial" w:eastAsia="Arial" w:hAnsi="Arial"/>
                <w:color w:val="1A1A1A"/>
                <w:sz w:val="22"/>
                <w:szCs w:val="22"/>
              </w:rPr>
              <w:t xml:space="preserve">Reducing returns in Fashion and Electronics through better product information and fulfilment accuracy will deliver significantly greater financial benefit than investing in faster delivery. The business case is data-driven, statistically validated, and immediately actionable.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2026-06-28T14:15:44.490Z</dcterms:created>
  <dcterms:modified xsi:type="dcterms:W3CDTF">2026-06-28T14:15:44.490Z</dcterms:modified>
</cp:coreProperties>
</file>

<file path=docProps/custom.xml><?xml version="1.0" encoding="utf-8"?>
<Properties xmlns="http://schemas.openxmlformats.org/officeDocument/2006/custom-properties" xmlns:vt="http://schemas.openxmlformats.org/officeDocument/2006/docPropsVTypes"/>
</file>