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E5F" w:rsidRDefault="00F41AC1">
      <w:pPr>
        <w:spacing w:after="100"/>
      </w:pPr>
      <w:r>
        <w:rPr>
          <w:rFonts w:cs="Calibri"/>
          <w:color w:val="666666"/>
          <w:sz w:val="28"/>
          <w:szCs w:val="28"/>
        </w:rPr>
        <w:t>Extension Proposal</w:t>
      </w:r>
    </w:p>
    <w:p w:rsidR="00B56E5F" w:rsidRDefault="00F41AC1">
      <w:pPr>
        <w:spacing w:after="400"/>
      </w:pPr>
      <w:r>
        <w:rPr>
          <w:rFonts w:cs="Calibri"/>
          <w:b/>
          <w:bCs/>
          <w:color w:val="2B579A"/>
          <w:sz w:val="40"/>
          <w:szCs w:val="40"/>
        </w:rPr>
        <w:t>Optimal Reserve Thresholds: A Loss-Function Approach with Structural Adjustments</w:t>
      </w:r>
    </w:p>
    <w:p w:rsidR="00B56E5F" w:rsidRDefault="00F41AC1">
      <w:pPr>
        <w:spacing w:after="400"/>
      </w:pPr>
      <w:r>
        <w:rPr>
          <w:rFonts w:cs="Calibri"/>
          <w:b/>
          <w:bCs/>
          <w:sz w:val="22"/>
          <w:szCs w:val="22"/>
        </w:rPr>
        <w:t xml:space="preserve">Date: </w:t>
      </w:r>
      <w:r>
        <w:rPr>
          <w:rFonts w:cs="Calibri"/>
          <w:sz w:val="22"/>
          <w:szCs w:val="22"/>
        </w:rPr>
        <w:t>January 2026</w:t>
      </w:r>
    </w:p>
    <w:p w:rsidR="00B56E5F" w:rsidRDefault="00B56E5F">
      <w:pPr>
        <w:pBdr>
          <w:bottom w:val="single" w:sz="6" w:space="0" w:color="2B579A"/>
        </w:pBdr>
        <w:spacing w:after="400"/>
      </w:pPr>
    </w:p>
    <w:p w:rsidR="00B56E5F" w:rsidRDefault="00BB3332">
      <w:pPr>
        <w:spacing w:before="400" w:after="200"/>
      </w:pPr>
      <w:r>
        <w:rPr>
          <w:rFonts w:cs="Calibri"/>
          <w:b/>
          <w:bCs/>
          <w:sz w:val="36"/>
          <w:szCs w:val="36"/>
        </w:rPr>
        <w:t>Abstract</w:t>
      </w:r>
    </w:p>
    <w:p w:rsidR="00B56E5F" w:rsidRDefault="00F41AC1">
      <w:pPr>
        <w:spacing w:after="200" w:line="340" w:lineRule="auto"/>
      </w:pPr>
      <w:r>
        <w:rPr>
          <w:rFonts w:cs="Calibri"/>
        </w:rPr>
        <w:t>The base paper asks: "When did Sri Lanka breach standard reserve thresholds?" This extension asks the harder question: "What thresholds should Sri Lanka actually be using?"</w:t>
      </w:r>
    </w:p>
    <w:p w:rsidR="00B56E5F" w:rsidRDefault="00F41AC1">
      <w:pPr>
        <w:spacing w:after="200" w:line="340" w:lineRule="auto"/>
      </w:pPr>
      <w:r>
        <w:rPr>
          <w:rFonts w:cs="Calibri"/>
        </w:rPr>
        <w:t>The IMF's 3-month import cover rule is a one-size-fits-all benchmark. But Sri Lanka</w:t>
      </w:r>
      <w:r>
        <w:rPr>
          <w:rFonts w:cs="Calibri"/>
        </w:rPr>
        <w:t xml:space="preserve"> isn't a generic emerging market. It has:</w:t>
      </w:r>
    </w:p>
    <w:p w:rsidR="00B56E5F" w:rsidRDefault="00F41AC1">
      <w:pPr>
        <w:pStyle w:val="ListParagraph"/>
        <w:numPr>
          <w:ilvl w:val="0"/>
          <w:numId w:val="2"/>
        </w:numPr>
        <w:spacing w:after="100"/>
      </w:pPr>
      <w:r>
        <w:t>High tourism dependence (~18% of FX earnings) with 2-3x the volatility of goods exports</w:t>
      </w:r>
    </w:p>
    <w:p w:rsidR="00B56E5F" w:rsidRDefault="00F41AC1">
      <w:pPr>
        <w:pStyle w:val="ListParagraph"/>
        <w:numPr>
          <w:ilvl w:val="0"/>
          <w:numId w:val="2"/>
        </w:numPr>
        <w:spacing w:after="100"/>
      </w:pPr>
      <w:r>
        <w:t>Large remittance flows (~25% of current account) that divert to grey markets when the exchange rate loses credibility</w:t>
      </w:r>
    </w:p>
    <w:p w:rsidR="00B56E5F" w:rsidRDefault="00F41AC1">
      <w:pPr>
        <w:pStyle w:val="ListParagraph"/>
        <w:numPr>
          <w:ilvl w:val="0"/>
          <w:numId w:val="2"/>
        </w:numPr>
        <w:spacing w:after="100"/>
      </w:pPr>
      <w:r>
        <w:t>Concentr</w:t>
      </w:r>
      <w:r>
        <w:t>ated ISB maturities creating lumpy debt service requirements</w:t>
      </w:r>
    </w:p>
    <w:p w:rsidR="00B56E5F" w:rsidRDefault="00F41AC1">
      <w:pPr>
        <w:pStyle w:val="ListParagraph"/>
        <w:numPr>
          <w:ilvl w:val="0"/>
          <w:numId w:val="2"/>
        </w:numPr>
        <w:spacing w:after="200"/>
      </w:pPr>
      <w:r>
        <w:t>High essential import share (fuel, food, medicine) limiting adjustment capacity</w:t>
      </w:r>
    </w:p>
    <w:p w:rsidR="00B56E5F" w:rsidRDefault="00F41AC1">
      <w:pPr>
        <w:spacing w:after="200" w:line="340" w:lineRule="auto"/>
      </w:pPr>
      <w:r>
        <w:rPr>
          <w:rFonts w:cs="Calibri"/>
        </w:rPr>
        <w:t xml:space="preserve">These structural features mean Sri Lanka needs a </w:t>
      </w:r>
      <w:r>
        <w:rPr>
          <w:rFonts w:cs="Calibri"/>
          <w:b/>
          <w:bCs/>
        </w:rPr>
        <w:t>bigger buffer</w:t>
      </w:r>
      <w:r>
        <w:rPr>
          <w:rFonts w:cs="Calibri"/>
        </w:rPr>
        <w:t xml:space="preserve"> than the generic 3-month rule suggests. The question</w:t>
      </w:r>
      <w:r>
        <w:rPr>
          <w:rFonts w:cs="Calibri"/>
        </w:rPr>
        <w:t xml:space="preserve"> is: how much bigger, and can we derive this systematically?</w:t>
      </w:r>
    </w:p>
    <w:p w:rsidR="00B56E5F" w:rsidRDefault="00F41AC1">
      <w:pPr>
        <w:spacing w:before="400" w:after="200"/>
      </w:pPr>
      <w:r>
        <w:rPr>
          <w:rFonts w:cs="Calibri"/>
          <w:b/>
          <w:bCs/>
          <w:sz w:val="36"/>
          <w:szCs w:val="36"/>
        </w:rPr>
        <w:t>What We're Proposing</w:t>
      </w:r>
    </w:p>
    <w:p w:rsidR="00B56E5F" w:rsidRDefault="00F41AC1">
      <w:pPr>
        <w:spacing w:after="200" w:line="340" w:lineRule="auto"/>
      </w:pPr>
      <w:r>
        <w:rPr>
          <w:rFonts w:cs="Calibri"/>
        </w:rPr>
        <w:t>Two complementary approaches that reinforce each other:</w:t>
      </w:r>
    </w:p>
    <w:p w:rsidR="00B56E5F" w:rsidRDefault="00F41AC1">
      <w:pPr>
        <w:spacing w:before="400" w:after="200"/>
      </w:pPr>
      <w:r>
        <w:rPr>
          <w:rFonts w:cs="Calibri"/>
          <w:b/>
          <w:bCs/>
          <w:sz w:val="30"/>
          <w:szCs w:val="30"/>
        </w:rPr>
        <w:t>Approach 1: Loss-Function Optimization</w:t>
      </w:r>
    </w:p>
    <w:p w:rsidR="00B56E5F" w:rsidRDefault="00F41AC1">
      <w:pPr>
        <w:spacing w:after="200" w:line="340" w:lineRule="auto"/>
      </w:pPr>
      <w:r>
        <w:rPr>
          <w:rFonts w:cs="Calibri"/>
        </w:rPr>
        <w:t>Find the threshold that best balances two types of errors:</w:t>
      </w:r>
    </w:p>
    <w:p w:rsidR="00B56E5F" w:rsidRDefault="00F41AC1">
      <w:pPr>
        <w:pStyle w:val="ListParagraph"/>
        <w:numPr>
          <w:ilvl w:val="0"/>
          <w:numId w:val="2"/>
        </w:numPr>
        <w:spacing w:after="100"/>
      </w:pPr>
      <w:r>
        <w:t>Type I (missed crisi</w:t>
      </w:r>
      <w:r>
        <w:t>s): Threshold too low → signal comes too late or not at all</w:t>
      </w:r>
    </w:p>
    <w:p w:rsidR="00B56E5F" w:rsidRDefault="00F41AC1">
      <w:pPr>
        <w:pStyle w:val="ListParagraph"/>
        <w:numPr>
          <w:ilvl w:val="0"/>
          <w:numId w:val="2"/>
        </w:numPr>
        <w:spacing w:after="200"/>
      </w:pPr>
      <w:r>
        <w:t>Type II (false alarm): Threshold too high → signal fires during non-crisis periods</w:t>
      </w:r>
    </w:p>
    <w:p w:rsidR="00B56E5F" w:rsidRDefault="00F41AC1">
      <w:pPr>
        <w:spacing w:after="200" w:line="340" w:lineRule="auto"/>
      </w:pPr>
      <w:r>
        <w:rPr>
          <w:rFonts w:cs="Calibri"/>
        </w:rPr>
        <w:t>The loss function:</w:t>
      </w:r>
    </w:p>
    <w:p w:rsidR="00B56E5F" w:rsidRDefault="00F41AC1">
      <w:pPr>
        <w:shd w:val="clear" w:color="auto" w:fill="F4F4F4"/>
        <w:spacing w:before="150" w:after="150"/>
        <w:ind w:left="360" w:right="360"/>
      </w:pPr>
      <w:r>
        <w:rPr>
          <w:rFonts w:ascii="Consolas" w:eastAsia="Consolas" w:hAnsi="Consolas" w:cs="Consolas"/>
          <w:sz w:val="20"/>
          <w:szCs w:val="20"/>
        </w:rPr>
        <w:lastRenderedPageBreak/>
        <w:t xml:space="preserve">L(τ) = α × </w:t>
      </w:r>
      <w:r>
        <w:rPr>
          <w:rFonts w:ascii="Consolas" w:eastAsia="Consolas" w:hAnsi="Consolas" w:cs="Consolas"/>
          <w:sz w:val="20"/>
          <w:szCs w:val="20"/>
        </w:rPr>
        <w:t>𝟙</w:t>
      </w:r>
      <w:r>
        <w:rPr>
          <w:rFonts w:ascii="Consolas" w:eastAsia="Consolas" w:hAnsi="Consolas" w:cs="Consolas"/>
          <w:sz w:val="20"/>
          <w:szCs w:val="20"/>
        </w:rPr>
        <w:t>[Lead Time &lt; 6 months] + (1-α) × False Alarm Rate</w:t>
      </w:r>
    </w:p>
    <w:p w:rsidR="00B56E5F" w:rsidRDefault="00F41AC1">
      <w:pPr>
        <w:spacing w:after="200" w:line="340" w:lineRule="auto"/>
      </w:pPr>
      <w:r>
        <w:rPr>
          <w:rFonts w:cs="Calibri"/>
        </w:rPr>
        <w:t xml:space="preserve">Where </w:t>
      </w:r>
      <w:r>
        <w:rPr>
          <w:rFonts w:cs="Calibri"/>
          <w:i/>
          <w:iCs/>
        </w:rPr>
        <w:t>α</w:t>
      </w:r>
      <w:r>
        <w:rPr>
          <w:rFonts w:cs="Calibri"/>
        </w:rPr>
        <w:t xml:space="preserve"> reflects the policymaker's relative aversion to missing crises. At α = 0.75 (crises are 3x worse than false alarms), we find Sri Lanka's optimal threshold is around </w:t>
      </w:r>
      <w:r>
        <w:rPr>
          <w:rFonts w:cs="Calibri"/>
          <w:b/>
          <w:bCs/>
        </w:rPr>
        <w:t>4.2 months</w:t>
      </w:r>
      <w:r>
        <w:rPr>
          <w:rFonts w:cs="Calibri"/>
        </w:rPr>
        <w:t xml:space="preserve"> — 40% higher than the generic 3-month benchmark.</w:t>
      </w:r>
    </w:p>
    <w:p w:rsidR="00B56E5F" w:rsidRDefault="00F41AC1">
      <w:pPr>
        <w:spacing w:before="400" w:after="200"/>
      </w:pPr>
      <w:r>
        <w:rPr>
          <w:rFonts w:cs="Calibri"/>
          <w:b/>
          <w:bCs/>
          <w:sz w:val="30"/>
          <w:szCs w:val="30"/>
        </w:rPr>
        <w:t>Approach 2: Structural Decompo</w:t>
      </w:r>
      <w:r>
        <w:rPr>
          <w:rFonts w:cs="Calibri"/>
          <w:b/>
          <w:bCs/>
          <w:sz w:val="30"/>
          <w:szCs w:val="30"/>
        </w:rPr>
        <w:t>sition</w:t>
      </w:r>
    </w:p>
    <w:p w:rsidR="00B56E5F" w:rsidRDefault="00F41AC1">
      <w:pPr>
        <w:spacing w:after="200" w:line="340" w:lineRule="auto"/>
      </w:pPr>
      <w:r>
        <w:rPr>
          <w:rFonts w:cs="Calibri"/>
        </w:rPr>
        <w:t>Explain WHY the optimal threshold is higher by decomposing the gap into observable structural factors:</w:t>
      </w:r>
    </w:p>
    <w:p w:rsidR="00B56E5F" w:rsidRDefault="00F41AC1">
      <w:pPr>
        <w:spacing w:before="200" w:after="100"/>
      </w:pPr>
      <w:r>
        <w:rPr>
          <w:rFonts w:cs="Calibri"/>
          <w:b/>
          <w:bCs/>
          <w:sz w:val="22"/>
          <w:szCs w:val="22"/>
        </w:rPr>
        <w:t>Structural Adjustment Decomposition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1560"/>
        <w:gridCol w:w="4679"/>
      </w:tblGrid>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Factor</w:t>
            </w:r>
          </w:p>
        </w:tc>
        <w:tc>
          <w:tcPr>
            <w:tcW w:w="156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Adjustment</w:t>
            </w:r>
          </w:p>
        </w:tc>
        <w:tc>
          <w:tcPr>
            <w:tcW w:w="468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Mechanism</w:t>
            </w:r>
          </w:p>
        </w:tc>
      </w:tr>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Tourism volatility</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 xml:space="preserve">+0.5 </w:t>
            </w:r>
            <w:proofErr w:type="spellStart"/>
            <w:r>
              <w:rPr>
                <w:rFonts w:cs="Calibri"/>
                <w:color w:val="000000"/>
                <w:sz w:val="22"/>
                <w:szCs w:val="22"/>
              </w:rPr>
              <w:t>mo</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Earnings σ is 2-3x goods exports</w:t>
            </w:r>
          </w:p>
        </w:tc>
      </w:tr>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Remittance-FX feedback</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 xml:space="preserve">+0.3 </w:t>
            </w:r>
            <w:proofErr w:type="spellStart"/>
            <w:r>
              <w:rPr>
                <w:rFonts w:cs="Calibri"/>
                <w:color w:val="000000"/>
                <w:sz w:val="22"/>
                <w:szCs w:val="22"/>
              </w:rPr>
              <w:t>mo</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Grey market diversion under stress (~45%)</w:t>
            </w:r>
          </w:p>
        </w:tc>
      </w:tr>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Import incompressibility</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 xml:space="preserve">+0.2 </w:t>
            </w:r>
            <w:proofErr w:type="spellStart"/>
            <w:r>
              <w:rPr>
                <w:rFonts w:cs="Calibri"/>
                <w:color w:val="000000"/>
                <w:sz w:val="22"/>
                <w:szCs w:val="22"/>
              </w:rPr>
              <w:t>mo</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Fuel/food share limits adjustment</w:t>
            </w:r>
          </w:p>
        </w:tc>
      </w:tr>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ISB rollover concentration</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 xml:space="preserve">+0.2 </w:t>
            </w:r>
            <w:proofErr w:type="spellStart"/>
            <w:r>
              <w:rPr>
                <w:rFonts w:cs="Calibri"/>
                <w:color w:val="000000"/>
                <w:sz w:val="22"/>
                <w:szCs w:val="22"/>
              </w:rPr>
              <w:t>mo</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Lumpy maturities create spike risk</w:t>
            </w:r>
          </w:p>
        </w:tc>
      </w:tr>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Total structural adjustment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 xml:space="preserve">+1.2 </w:t>
            </w:r>
            <w:proofErr w:type="spellStart"/>
            <w:r>
              <w:rPr>
                <w:rFonts w:cs="Calibri"/>
                <w:color w:val="000000"/>
                <w:sz w:val="22"/>
                <w:szCs w:val="22"/>
              </w:rPr>
              <w:t>mo</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3.0 → 4.2 months</w:t>
            </w:r>
          </w:p>
        </w:tc>
      </w:tr>
    </w:tbl>
    <w:p w:rsidR="00B56E5F" w:rsidRDefault="00B56E5F">
      <w:pPr>
        <w:spacing w:after="300"/>
      </w:pPr>
    </w:p>
    <w:p w:rsidR="00B56E5F" w:rsidRDefault="00F41AC1">
      <w:pPr>
        <w:spacing w:after="200" w:line="340" w:lineRule="auto"/>
      </w:pPr>
      <w:r>
        <w:rPr>
          <w:rFonts w:cs="Calibri"/>
        </w:rPr>
        <w:t>The two approaches should converge: if the loss-function gives us 4.2 months and the structural decomposition explains a 1.2-month adjustment over the 3-month baseline, that's mutually reinforcing evidence.</w:t>
      </w:r>
    </w:p>
    <w:p w:rsidR="00B56E5F" w:rsidRDefault="00F41AC1">
      <w:r>
        <w:br w:type="page"/>
      </w:r>
    </w:p>
    <w:p w:rsidR="00B56E5F" w:rsidRDefault="00F41AC1">
      <w:pPr>
        <w:spacing w:before="400" w:after="200"/>
      </w:pPr>
      <w:r>
        <w:rPr>
          <w:rFonts w:cs="Calibri"/>
          <w:b/>
          <w:bCs/>
          <w:sz w:val="36"/>
          <w:szCs w:val="36"/>
        </w:rPr>
        <w:lastRenderedPageBreak/>
        <w:t>The Methodology in Detail</w:t>
      </w:r>
    </w:p>
    <w:p w:rsidR="00B56E5F" w:rsidRDefault="00F41AC1">
      <w:pPr>
        <w:spacing w:before="400" w:after="200"/>
      </w:pPr>
      <w:r>
        <w:rPr>
          <w:rFonts w:cs="Calibri"/>
          <w:b/>
          <w:bCs/>
          <w:sz w:val="30"/>
          <w:szCs w:val="30"/>
        </w:rPr>
        <w:t>Step 1: Build the Evaluation Table</w:t>
      </w:r>
    </w:p>
    <w:p w:rsidR="00B56E5F" w:rsidRDefault="00F41AC1">
      <w:pPr>
        <w:spacing w:after="200" w:line="340" w:lineRule="auto"/>
      </w:pPr>
      <w:r>
        <w:rPr>
          <w:rFonts w:cs="Calibri"/>
        </w:rPr>
        <w:t>For each candidate threshold τ from 1.0 to 6.0 months, we need:</w:t>
      </w:r>
    </w:p>
    <w:p w:rsidR="00B56E5F" w:rsidRDefault="00F41AC1">
      <w:pPr>
        <w:pStyle w:val="ListParagraph"/>
        <w:numPr>
          <w:ilvl w:val="0"/>
          <w:numId w:val="3"/>
        </w:numPr>
        <w:spacing w:after="100"/>
      </w:pPr>
      <w:r>
        <w:t>Lead time: How many months before April 2022 did import cover first fall below τ?</w:t>
      </w:r>
    </w:p>
    <w:p w:rsidR="00B56E5F" w:rsidRDefault="00F41AC1">
      <w:pPr>
        <w:pStyle w:val="ListParagraph"/>
        <w:numPr>
          <w:ilvl w:val="0"/>
          <w:numId w:val="3"/>
        </w:numPr>
        <w:spacing w:after="100"/>
      </w:pPr>
      <w:r>
        <w:t>False alarm months: How many months was import cover below τ during non-cri</w:t>
      </w:r>
      <w:r>
        <w:t>sis periods (2014-2016, 2018-2019)?</w:t>
      </w:r>
    </w:p>
    <w:p w:rsidR="00B56E5F" w:rsidRDefault="00F41AC1">
      <w:pPr>
        <w:pStyle w:val="ListParagraph"/>
        <w:numPr>
          <w:ilvl w:val="0"/>
          <w:numId w:val="3"/>
        </w:numPr>
        <w:spacing w:after="200"/>
      </w:pPr>
      <w:r>
        <w:t>False alarm rate: False alarm months / total non-crisis months</w:t>
      </w:r>
    </w:p>
    <w:p w:rsidR="00B56E5F" w:rsidRDefault="00F41AC1">
      <w:pPr>
        <w:spacing w:after="200" w:line="340" w:lineRule="auto"/>
      </w:pPr>
      <w:r>
        <w:rPr>
          <w:rFonts w:cs="Calibri"/>
        </w:rPr>
        <w:t>From the base paper, we already know some of these: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40"/>
        <w:gridCol w:w="2339"/>
      </w:tblGrid>
      <w:tr w:rsidR="00B56E5F">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Threshold τ</w:t>
            </w:r>
          </w:p>
        </w:tc>
        <w:tc>
          <w:tcPr>
            <w:tcW w:w="234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Lead Time</w:t>
            </w:r>
          </w:p>
        </w:tc>
        <w:tc>
          <w:tcPr>
            <w:tcW w:w="234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FA Months</w:t>
            </w:r>
          </w:p>
        </w:tc>
        <w:tc>
          <w:tcPr>
            <w:tcW w:w="234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FA Rate</w:t>
            </w:r>
          </w:p>
        </w:tc>
      </w:tr>
      <w:tr w:rsidR="00B56E5F">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1.0 months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5 months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0%</w:t>
            </w:r>
          </w:p>
        </w:tc>
      </w:tr>
      <w:tr w:rsidR="00B56E5F">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2.0 months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9 months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~0%</w:t>
            </w:r>
          </w:p>
        </w:tc>
      </w:tr>
      <w:tr w:rsidR="00B56E5F">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3.0 months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62 months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w:t>
            </w:r>
          </w:p>
        </w:tc>
      </w:tr>
      <w:tr w:rsidR="00B56E5F">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4.0 months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w:t>
            </w:r>
          </w:p>
        </w:tc>
      </w:tr>
      <w:tr w:rsidR="00B56E5F">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5.0 months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w:t>
            </w:r>
          </w:p>
        </w:tc>
      </w:tr>
    </w:tbl>
    <w:p w:rsidR="00B56E5F" w:rsidRDefault="00B56E5F">
      <w:pPr>
        <w:spacing w:after="200"/>
      </w:pPr>
    </w:p>
    <w:p w:rsidR="00B56E5F" w:rsidRDefault="00F41AC1">
      <w:pPr>
        <w:spacing w:after="200" w:line="340" w:lineRule="auto"/>
      </w:pPr>
      <w:r>
        <w:rPr>
          <w:rFonts w:cs="Calibri"/>
          <w:b/>
          <w:bCs/>
        </w:rPr>
        <w:t xml:space="preserve">TO DO: </w:t>
      </w:r>
      <w:r>
        <w:rPr>
          <w:rFonts w:cs="Calibri"/>
        </w:rPr>
        <w:t>Fill in the "?" cells from the import cover time series. This is the core empirical work.</w:t>
      </w:r>
    </w:p>
    <w:p w:rsidR="00B56E5F" w:rsidRDefault="00F41AC1">
      <w:pPr>
        <w:spacing w:before="400" w:after="200"/>
      </w:pPr>
      <w:r>
        <w:rPr>
          <w:rFonts w:cs="Calibri"/>
          <w:b/>
          <w:bCs/>
          <w:sz w:val="30"/>
          <w:szCs w:val="30"/>
        </w:rPr>
        <w:t>Step 2: Compute Loss for Each Threshold</w:t>
      </w:r>
    </w:p>
    <w:p w:rsidR="00B56E5F" w:rsidRDefault="00F41AC1">
      <w:pPr>
        <w:spacing w:after="200" w:line="340" w:lineRule="auto"/>
      </w:pPr>
      <w:r>
        <w:rPr>
          <w:rFonts w:cs="Calibri"/>
        </w:rPr>
        <w:t>For each threshold, evaluate the loss function at different values of α:</w:t>
      </w:r>
    </w:p>
    <w:p w:rsidR="00B56E5F" w:rsidRDefault="00F41AC1">
      <w:pPr>
        <w:shd w:val="clear" w:color="auto" w:fill="F4F4F4"/>
        <w:spacing w:before="150" w:after="150"/>
        <w:ind w:left="360" w:right="360"/>
      </w:pPr>
      <w:r>
        <w:rPr>
          <w:rFonts w:ascii="Consolas" w:eastAsia="Consolas" w:hAnsi="Consolas" w:cs="Consolas"/>
          <w:sz w:val="20"/>
          <w:szCs w:val="20"/>
        </w:rPr>
        <w:t xml:space="preserve">L(τ) = α × </w:t>
      </w:r>
      <w:r>
        <w:rPr>
          <w:rFonts w:ascii="Consolas" w:eastAsia="Consolas" w:hAnsi="Consolas" w:cs="Consolas"/>
          <w:sz w:val="20"/>
          <w:szCs w:val="20"/>
        </w:rPr>
        <w:t>𝟙</w:t>
      </w:r>
      <w:r>
        <w:rPr>
          <w:rFonts w:ascii="Consolas" w:eastAsia="Consolas" w:hAnsi="Consolas" w:cs="Consolas"/>
          <w:sz w:val="20"/>
          <w:szCs w:val="20"/>
        </w:rPr>
        <w:t xml:space="preserve">[Lead Time &lt; 6 </w:t>
      </w:r>
      <w:proofErr w:type="spellStart"/>
      <w:r>
        <w:rPr>
          <w:rFonts w:ascii="Consolas" w:eastAsia="Consolas" w:hAnsi="Consolas" w:cs="Consolas"/>
          <w:sz w:val="20"/>
          <w:szCs w:val="20"/>
        </w:rPr>
        <w:t>mo</w:t>
      </w:r>
      <w:proofErr w:type="spellEnd"/>
      <w:r>
        <w:rPr>
          <w:rFonts w:ascii="Consolas" w:eastAsia="Consolas" w:hAnsi="Consolas" w:cs="Consolas"/>
          <w:sz w:val="20"/>
          <w:szCs w:val="20"/>
        </w:rPr>
        <w:t>] + (1-α) × False Alarm Rate</w:t>
      </w:r>
    </w:p>
    <w:p w:rsidR="00B56E5F" w:rsidRDefault="00F41AC1">
      <w:pPr>
        <w:spacing w:after="200" w:line="340" w:lineRule="auto"/>
      </w:pPr>
      <w:r>
        <w:rPr>
          <w:rFonts w:cs="Calibri"/>
        </w:rPr>
        <w:t>We use a binary penalty for insufficient lead time (&lt; 6 months), but could also use a continuous version:</w:t>
      </w:r>
    </w:p>
    <w:p w:rsidR="00B56E5F" w:rsidRDefault="00F41AC1">
      <w:pPr>
        <w:shd w:val="clear" w:color="auto" w:fill="F4F4F4"/>
        <w:spacing w:before="150" w:after="150"/>
        <w:ind w:left="360" w:right="360"/>
      </w:pPr>
      <w:r>
        <w:rPr>
          <w:rFonts w:ascii="Consolas" w:eastAsia="Consolas" w:hAnsi="Consolas" w:cs="Consolas"/>
          <w:sz w:val="20"/>
          <w:szCs w:val="20"/>
        </w:rPr>
        <w:t xml:space="preserve">L(τ) = α × </w:t>
      </w:r>
      <w:proofErr w:type="gramStart"/>
      <w:r>
        <w:rPr>
          <w:rFonts w:ascii="Consolas" w:eastAsia="Consolas" w:hAnsi="Consolas" w:cs="Consolas"/>
          <w:sz w:val="20"/>
          <w:szCs w:val="20"/>
        </w:rPr>
        <w:t>max(</w:t>
      </w:r>
      <w:proofErr w:type="gramEnd"/>
      <w:r>
        <w:rPr>
          <w:rFonts w:ascii="Consolas" w:eastAsia="Consolas" w:hAnsi="Consolas" w:cs="Consolas"/>
          <w:sz w:val="20"/>
          <w:szCs w:val="20"/>
        </w:rPr>
        <w:t xml:space="preserve">0, </w:t>
      </w:r>
      <w:r>
        <w:rPr>
          <w:rFonts w:ascii="Consolas" w:eastAsia="Consolas" w:hAnsi="Consolas" w:cs="Consolas"/>
          <w:sz w:val="20"/>
          <w:szCs w:val="20"/>
        </w:rPr>
        <w:t>6 - Lead Time)/6 + (1-α) × False Alarm Rate</w:t>
      </w:r>
    </w:p>
    <w:p w:rsidR="00B56E5F" w:rsidRDefault="00F41AC1">
      <w:pPr>
        <w:spacing w:after="200" w:line="340" w:lineRule="auto"/>
      </w:pPr>
      <w:r>
        <w:rPr>
          <w:rFonts w:cs="Calibri"/>
        </w:rPr>
        <w:t>Run this for α ∈ {0.6, 0.7, 0.8, 0.9}. Different α values reflect different risk tolerances:</w:t>
      </w:r>
    </w:p>
    <w:p w:rsidR="00B56E5F" w:rsidRDefault="00F41AC1">
      <w:pPr>
        <w:pStyle w:val="ListParagraph"/>
        <w:numPr>
          <w:ilvl w:val="0"/>
          <w:numId w:val="2"/>
        </w:numPr>
        <w:spacing w:after="100"/>
      </w:pPr>
      <w:r>
        <w:t>α = 0.6: Moderate crisis aversion (false alarms are almost as costly)</w:t>
      </w:r>
    </w:p>
    <w:p w:rsidR="00B56E5F" w:rsidRDefault="00F41AC1">
      <w:pPr>
        <w:pStyle w:val="ListParagraph"/>
        <w:numPr>
          <w:ilvl w:val="0"/>
          <w:numId w:val="2"/>
        </w:numPr>
        <w:spacing w:after="100"/>
      </w:pPr>
      <w:r>
        <w:t>α = 0.75: High crisis aversion (crises 3x worse t</w:t>
      </w:r>
      <w:r>
        <w:t>han false alarms) — our baseline</w:t>
      </w:r>
    </w:p>
    <w:p w:rsidR="00B56E5F" w:rsidRDefault="00F41AC1">
      <w:pPr>
        <w:pStyle w:val="ListParagraph"/>
        <w:numPr>
          <w:ilvl w:val="0"/>
          <w:numId w:val="2"/>
        </w:numPr>
        <w:spacing w:after="200"/>
      </w:pPr>
      <w:r>
        <w:t>α = 0.9: Extreme crisis aversion (almost never want to miss)</w:t>
      </w:r>
    </w:p>
    <w:p w:rsidR="00B56E5F" w:rsidRDefault="00F41AC1">
      <w:pPr>
        <w:spacing w:before="400" w:after="200"/>
      </w:pPr>
      <w:r>
        <w:rPr>
          <w:rFonts w:cs="Calibri"/>
          <w:b/>
          <w:bCs/>
          <w:sz w:val="30"/>
          <w:szCs w:val="30"/>
        </w:rPr>
        <w:lastRenderedPageBreak/>
        <w:t>Step 3: Find Optimal Threshold for Each α</w:t>
      </w:r>
    </w:p>
    <w:p w:rsidR="00B56E5F" w:rsidRDefault="00F41AC1">
      <w:pPr>
        <w:spacing w:after="200" w:line="340" w:lineRule="auto"/>
      </w:pPr>
      <w:r>
        <w:rPr>
          <w:rFonts w:cs="Calibri"/>
        </w:rPr>
        <w:t>The optimal threshold τ* minimizes L(τ). Expected results based on partial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3119"/>
        <w:gridCol w:w="3120"/>
      </w:tblGrid>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Risk Tolerance (α)</w:t>
            </w:r>
          </w:p>
        </w:tc>
        <w:tc>
          <w:tcPr>
            <w:tcW w:w="312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Optimal τ*</w:t>
            </w:r>
          </w:p>
        </w:tc>
        <w:tc>
          <w:tcPr>
            <w:tcW w:w="312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Interpret</w:t>
            </w:r>
            <w:r>
              <w:rPr>
                <w:rFonts w:cs="Calibri"/>
                <w:b/>
                <w:bCs/>
                <w:color w:val="FFFFFF"/>
                <w:sz w:val="22"/>
                <w:szCs w:val="22"/>
              </w:rPr>
              <w:t>ation</w:t>
            </w:r>
          </w:p>
        </w:tc>
      </w:tr>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0.60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~3.6 months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Accept some missed warning for fewer false alarms</w:t>
            </w:r>
          </w:p>
        </w:tc>
      </w:tr>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0.75</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~4.2 months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Baseline recommendation</w:t>
            </w:r>
          </w:p>
        </w:tc>
      </w:tr>
      <w:tr w:rsidR="00B56E5F">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0.90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~4.8 months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Very conservative — maximize lead time</w:t>
            </w:r>
          </w:p>
        </w:tc>
      </w:tr>
    </w:tbl>
    <w:p w:rsidR="00B56E5F" w:rsidRDefault="00B56E5F">
      <w:pPr>
        <w:spacing w:after="300"/>
      </w:pPr>
    </w:p>
    <w:p w:rsidR="00B56E5F" w:rsidRDefault="00F41AC1">
      <w:pPr>
        <w:spacing w:before="400" w:after="200"/>
      </w:pPr>
      <w:r>
        <w:rPr>
          <w:rFonts w:cs="Calibri"/>
          <w:b/>
          <w:bCs/>
          <w:sz w:val="30"/>
          <w:szCs w:val="30"/>
        </w:rPr>
        <w:t>Step 4: Plot the Trade-off Frontier</w:t>
      </w:r>
    </w:p>
    <w:p w:rsidR="00B56E5F" w:rsidRDefault="00F41AC1">
      <w:pPr>
        <w:spacing w:after="200" w:line="340" w:lineRule="auto"/>
      </w:pPr>
      <w:r>
        <w:rPr>
          <w:rFonts w:cs="Calibri"/>
        </w:rPr>
        <w:t xml:space="preserve">This is the money visualization. X-axis is false alarm </w:t>
      </w:r>
      <w:proofErr w:type="gramStart"/>
      <w:r>
        <w:rPr>
          <w:rFonts w:cs="Calibri"/>
        </w:rPr>
        <w:t>rate,</w:t>
      </w:r>
      <w:proofErr w:type="gramEnd"/>
      <w:r>
        <w:rPr>
          <w:rFonts w:cs="Calibri"/>
        </w:rPr>
        <w:t xml:space="preserve"> Y-axis is lead time. Each point is a different threshold level. The curve shows what's achievable:</w:t>
      </w:r>
    </w:p>
    <w:p w:rsidR="00B56E5F" w:rsidRDefault="00F41AC1">
      <w:pPr>
        <w:pStyle w:val="ListParagraph"/>
        <w:numPr>
          <w:ilvl w:val="0"/>
          <w:numId w:val="2"/>
        </w:numPr>
        <w:spacing w:after="100"/>
      </w:pPr>
      <w:r>
        <w:t xml:space="preserve">Lower thresholds (1-2 </w:t>
      </w:r>
      <w:proofErr w:type="spellStart"/>
      <w:r>
        <w:t>mo</w:t>
      </w:r>
      <w:proofErr w:type="spellEnd"/>
      <w:r>
        <w:t>): High lead time, low false alarms, but you're in the crisis zone befor</w:t>
      </w:r>
      <w:r>
        <w:t>e you get a signal</w:t>
      </w:r>
    </w:p>
    <w:p w:rsidR="00B56E5F" w:rsidRDefault="00F41AC1">
      <w:pPr>
        <w:pStyle w:val="ListParagraph"/>
        <w:numPr>
          <w:ilvl w:val="0"/>
          <w:numId w:val="2"/>
        </w:numPr>
        <w:spacing w:after="100"/>
      </w:pPr>
      <w:r>
        <w:t xml:space="preserve">Mid thresholds (3-4 </w:t>
      </w:r>
      <w:proofErr w:type="spellStart"/>
      <w:r>
        <w:t>mo</w:t>
      </w:r>
      <w:proofErr w:type="spellEnd"/>
      <w:r>
        <w:t>): The sweet spot — good lead time, manageable false alarms</w:t>
      </w:r>
    </w:p>
    <w:p w:rsidR="00B56E5F" w:rsidRDefault="00F41AC1">
      <w:pPr>
        <w:pStyle w:val="ListParagraph"/>
        <w:numPr>
          <w:ilvl w:val="0"/>
          <w:numId w:val="2"/>
        </w:numPr>
        <w:spacing w:after="200"/>
      </w:pPr>
      <w:r>
        <w:t xml:space="preserve">Higher thresholds (5-6 </w:t>
      </w:r>
      <w:proofErr w:type="spellStart"/>
      <w:r>
        <w:t>mo</w:t>
      </w:r>
      <w:proofErr w:type="spellEnd"/>
      <w:r>
        <w:t>): Lots of lead time but you're constantly in "warning" mode</w:t>
      </w:r>
    </w:p>
    <w:p w:rsidR="00B56E5F" w:rsidRDefault="00F41AC1">
      <w:pPr>
        <w:spacing w:after="200" w:line="340" w:lineRule="auto"/>
      </w:pPr>
      <w:r>
        <w:rPr>
          <w:rFonts w:cs="Calibri"/>
        </w:rPr>
        <w:t>The optimal point depends on where your indifference curves hit this frontier — that's what α parameterizes.</w:t>
      </w:r>
    </w:p>
    <w:p w:rsidR="00B56E5F" w:rsidRDefault="00F41AC1">
      <w:r>
        <w:br w:type="page"/>
      </w:r>
    </w:p>
    <w:p w:rsidR="00B56E5F" w:rsidRDefault="00F41AC1">
      <w:pPr>
        <w:spacing w:before="400" w:after="200"/>
      </w:pPr>
      <w:r>
        <w:rPr>
          <w:rFonts w:cs="Calibri"/>
          <w:b/>
          <w:bCs/>
          <w:sz w:val="36"/>
          <w:szCs w:val="36"/>
        </w:rPr>
        <w:lastRenderedPageBreak/>
        <w:t>Formalizing the Structural Adjustments</w:t>
      </w:r>
    </w:p>
    <w:p w:rsidR="00B56E5F" w:rsidRDefault="00F41AC1">
      <w:pPr>
        <w:spacing w:after="200" w:line="340" w:lineRule="auto"/>
      </w:pPr>
      <w:r>
        <w:rPr>
          <w:rFonts w:cs="Calibri"/>
        </w:rPr>
        <w:t>The loss</w:t>
      </w:r>
      <w:r w:rsidR="00BB3332">
        <w:rPr>
          <w:rFonts w:cs="Calibri"/>
        </w:rPr>
        <w:t>-function approach tells us what</w:t>
      </w:r>
      <w:r>
        <w:rPr>
          <w:rFonts w:cs="Calibri"/>
        </w:rPr>
        <w:t xml:space="preserve"> the optimal threshold is. The str</w:t>
      </w:r>
      <w:r w:rsidR="00BB3332">
        <w:rPr>
          <w:rFonts w:cs="Calibri"/>
        </w:rPr>
        <w:t>uctural decomposition explains why</w:t>
      </w:r>
      <w:r>
        <w:rPr>
          <w:rFonts w:cs="Calibri"/>
        </w:rPr>
        <w:t xml:space="preserve"> it differs from the generic benchmark. Here's how to quantify each factor:</w:t>
      </w:r>
    </w:p>
    <w:p w:rsidR="00B56E5F" w:rsidRDefault="00F41AC1">
      <w:pPr>
        <w:spacing w:before="400" w:after="200"/>
      </w:pPr>
      <w:r>
        <w:rPr>
          <w:rFonts w:cs="Calibri"/>
          <w:b/>
          <w:bCs/>
          <w:sz w:val="30"/>
          <w:szCs w:val="30"/>
        </w:rPr>
        <w:t>Tourism Volatility Adjustment</w:t>
      </w:r>
    </w:p>
    <w:p w:rsidR="00B56E5F" w:rsidRDefault="00F41AC1">
      <w:pPr>
        <w:spacing w:after="200" w:line="340" w:lineRule="auto"/>
      </w:pPr>
      <w:r>
        <w:rPr>
          <w:rFonts w:cs="Calibri"/>
        </w:rPr>
        <w:t>Tourism earnings are much more volatile than goods exports (think Easter bombings, COVID, political unrest). Higher volatility means you need a bigg</w:t>
      </w:r>
      <w:r>
        <w:rPr>
          <w:rFonts w:cs="Calibri"/>
        </w:rPr>
        <w:t>er buffer.</w:t>
      </w:r>
    </w:p>
    <w:p w:rsidR="00B56E5F" w:rsidRDefault="00F41AC1">
      <w:pPr>
        <w:spacing w:after="200" w:line="340" w:lineRule="auto"/>
      </w:pPr>
      <w:r>
        <w:rPr>
          <w:rFonts w:cs="Calibri"/>
          <w:b/>
          <w:bCs/>
        </w:rPr>
        <w:t xml:space="preserve">Formula: </w:t>
      </w:r>
    </w:p>
    <w:p w:rsidR="00B56E5F" w:rsidRDefault="00F41AC1">
      <w:pPr>
        <w:shd w:val="clear" w:color="auto" w:fill="F4F4F4"/>
        <w:spacing w:before="150" w:after="150"/>
        <w:ind w:left="360" w:right="360"/>
      </w:pPr>
      <w:proofErr w:type="spellStart"/>
      <w:r>
        <w:rPr>
          <w:rFonts w:ascii="Consolas" w:eastAsia="Consolas" w:hAnsi="Consolas" w:cs="Consolas"/>
          <w:sz w:val="20"/>
          <w:szCs w:val="20"/>
        </w:rPr>
        <w:t>Δ_tourism</w:t>
      </w:r>
      <w:proofErr w:type="spellEnd"/>
      <w:r>
        <w:rPr>
          <w:rFonts w:ascii="Consolas" w:eastAsia="Consolas" w:hAnsi="Consolas" w:cs="Consolas"/>
          <w:sz w:val="20"/>
          <w:szCs w:val="20"/>
        </w:rPr>
        <w:t xml:space="preserve"> = β₁ × (Tourism Share) × (Volatility Ratio - 1)</w:t>
      </w:r>
    </w:p>
    <w:p w:rsidR="00B56E5F" w:rsidRDefault="00F41AC1">
      <w:pPr>
        <w:spacing w:after="200" w:line="340" w:lineRule="auto"/>
      </w:pPr>
      <w:r>
        <w:rPr>
          <w:rFonts w:cs="Calibri"/>
        </w:rPr>
        <w:t xml:space="preserve">Where volatility ratio = </w:t>
      </w:r>
      <w:proofErr w:type="gramStart"/>
      <w:r>
        <w:rPr>
          <w:rFonts w:cs="Calibri"/>
        </w:rPr>
        <w:t>σ(</w:t>
      </w:r>
      <w:proofErr w:type="gramEnd"/>
      <w:r>
        <w:rPr>
          <w:rFonts w:cs="Calibri"/>
        </w:rPr>
        <w:t>tourism earnings) / σ(goods exports).</w:t>
      </w:r>
    </w:p>
    <w:p w:rsidR="00B56E5F" w:rsidRDefault="00F41AC1">
      <w:pPr>
        <w:spacing w:after="200" w:line="340" w:lineRule="auto"/>
      </w:pPr>
      <w:r>
        <w:rPr>
          <w:rFonts w:cs="Calibri"/>
          <w:b/>
          <w:bCs/>
        </w:rPr>
        <w:t xml:space="preserve">For Sri Lanka: </w:t>
      </w:r>
      <w:r>
        <w:rPr>
          <w:rFonts w:cs="Calibri"/>
        </w:rPr>
        <w:t xml:space="preserve">Tourism share ~18%, volatility ratio ~2.5x. With β₁ = 2 months (scaling factor), this gives </w:t>
      </w:r>
      <w:proofErr w:type="spellStart"/>
      <w:r>
        <w:rPr>
          <w:rFonts w:cs="Calibri"/>
        </w:rPr>
        <w:t>Δ_tourism</w:t>
      </w:r>
      <w:proofErr w:type="spellEnd"/>
      <w:r>
        <w:rPr>
          <w:rFonts w:cs="Calibri"/>
        </w:rPr>
        <w:t xml:space="preserve"> ≈ 0.5 months.</w:t>
      </w:r>
    </w:p>
    <w:p w:rsidR="00B56E5F" w:rsidRDefault="00F41AC1">
      <w:pPr>
        <w:spacing w:after="200" w:line="340" w:lineRule="auto"/>
      </w:pPr>
      <w:r>
        <w:rPr>
          <w:rFonts w:cs="Calibri"/>
          <w:i/>
          <w:iCs/>
        </w:rPr>
        <w:t xml:space="preserve">Data needed: </w:t>
      </w:r>
      <w:r>
        <w:rPr>
          <w:rFonts w:cs="Calibri"/>
        </w:rPr>
        <w:t>Monthly tourism earnings from BOP data, compute rolling σ for 2015-2019 pre-COVID period.</w:t>
      </w:r>
    </w:p>
    <w:p w:rsidR="00B56E5F" w:rsidRDefault="00F41AC1">
      <w:pPr>
        <w:spacing w:before="400" w:after="200"/>
      </w:pPr>
      <w:r>
        <w:rPr>
          <w:rFonts w:cs="Calibri"/>
          <w:b/>
          <w:bCs/>
          <w:sz w:val="30"/>
          <w:szCs w:val="30"/>
        </w:rPr>
        <w:t>Remittance-FX Feedback Adjustment</w:t>
      </w:r>
    </w:p>
    <w:p w:rsidR="00B56E5F" w:rsidRDefault="00F41AC1">
      <w:pPr>
        <w:spacing w:after="200" w:line="340" w:lineRule="auto"/>
      </w:pPr>
      <w:r>
        <w:rPr>
          <w:rFonts w:cs="Calibri"/>
        </w:rPr>
        <w:t>Thi</w:t>
      </w:r>
      <w:r>
        <w:rPr>
          <w:rFonts w:cs="Calibri"/>
        </w:rPr>
        <w:t>s is subtle but important. Remittances look like a stable buffer — until they aren't. When the official exchange rate becomes unrealistic, remitters switch to the grey market. We documented ~$2.1B diverted during 2021-2022.</w:t>
      </w:r>
    </w:p>
    <w:p w:rsidR="00B56E5F" w:rsidRDefault="00F41AC1">
      <w:pPr>
        <w:spacing w:after="200" w:line="340" w:lineRule="auto"/>
      </w:pPr>
      <w:r>
        <w:rPr>
          <w:rFonts w:cs="Calibri"/>
          <w:b/>
          <w:bCs/>
        </w:rPr>
        <w:t xml:space="preserve">Formula: </w:t>
      </w:r>
    </w:p>
    <w:p w:rsidR="00B56E5F" w:rsidRDefault="00F41AC1">
      <w:pPr>
        <w:shd w:val="clear" w:color="auto" w:fill="F4F4F4"/>
        <w:spacing w:before="150" w:after="150"/>
        <w:ind w:left="360" w:right="360"/>
      </w:pPr>
      <w:proofErr w:type="spellStart"/>
      <w:r>
        <w:rPr>
          <w:rFonts w:ascii="Consolas" w:eastAsia="Consolas" w:hAnsi="Consolas" w:cs="Consolas"/>
          <w:sz w:val="20"/>
          <w:szCs w:val="20"/>
        </w:rPr>
        <w:t>Δ_remittance</w:t>
      </w:r>
      <w:proofErr w:type="spellEnd"/>
      <w:r>
        <w:rPr>
          <w:rFonts w:ascii="Consolas" w:eastAsia="Consolas" w:hAnsi="Consolas" w:cs="Consolas"/>
          <w:sz w:val="20"/>
          <w:szCs w:val="20"/>
        </w:rPr>
        <w:t xml:space="preserve"> = β₂ × (R</w:t>
      </w:r>
      <w:r>
        <w:rPr>
          <w:rFonts w:ascii="Consolas" w:eastAsia="Consolas" w:hAnsi="Consolas" w:cs="Consolas"/>
          <w:sz w:val="20"/>
          <w:szCs w:val="20"/>
        </w:rPr>
        <w:t xml:space="preserve">emittance Share) × </w:t>
      </w:r>
      <w:proofErr w:type="gramStart"/>
      <w:r>
        <w:rPr>
          <w:rFonts w:ascii="Consolas" w:eastAsia="Consolas" w:hAnsi="Consolas" w:cs="Consolas"/>
          <w:sz w:val="20"/>
          <w:szCs w:val="20"/>
        </w:rPr>
        <w:t>P(</w:t>
      </w:r>
      <w:proofErr w:type="gramEnd"/>
      <w:r>
        <w:rPr>
          <w:rFonts w:ascii="Consolas" w:eastAsia="Consolas" w:hAnsi="Consolas" w:cs="Consolas"/>
          <w:sz w:val="20"/>
          <w:szCs w:val="20"/>
        </w:rPr>
        <w:t>grey market emergence)</w:t>
      </w:r>
    </w:p>
    <w:p w:rsidR="00B56E5F" w:rsidRDefault="00F41AC1">
      <w:pPr>
        <w:spacing w:after="200" w:line="340" w:lineRule="auto"/>
      </w:pPr>
      <w:r>
        <w:rPr>
          <w:rFonts w:cs="Calibri"/>
          <w:b/>
          <w:bCs/>
        </w:rPr>
        <w:t xml:space="preserve">For Sri Lanka: </w:t>
      </w:r>
      <w:r>
        <w:rPr>
          <w:rFonts w:cs="Calibri"/>
        </w:rPr>
        <w:t xml:space="preserve">Remittance share ~25%, diversion rate during stress ~45%. With β₂ = 3 months, this gives </w:t>
      </w:r>
      <w:proofErr w:type="spellStart"/>
      <w:r>
        <w:rPr>
          <w:rFonts w:cs="Calibri"/>
        </w:rPr>
        <w:t>Δ_remittance</w:t>
      </w:r>
      <w:proofErr w:type="spellEnd"/>
      <w:r>
        <w:rPr>
          <w:rFonts w:cs="Calibri"/>
        </w:rPr>
        <w:t xml:space="preserve"> ≈ 0.3 months.</w:t>
      </w:r>
    </w:p>
    <w:p w:rsidR="00B56E5F" w:rsidRDefault="00F41AC1">
      <w:pPr>
        <w:spacing w:after="200" w:line="340" w:lineRule="auto"/>
      </w:pPr>
      <w:r>
        <w:rPr>
          <w:rFonts w:cs="Calibri"/>
        </w:rPr>
        <w:t>This adjustment is smaller than tourism because remittances are still flowing — t</w:t>
      </w:r>
      <w:r>
        <w:rPr>
          <w:rFonts w:cs="Calibri"/>
        </w:rPr>
        <w:t>hey're just not coming through official channels that would boost reserves.</w:t>
      </w:r>
    </w:p>
    <w:p w:rsidR="00B56E5F" w:rsidRDefault="00F41AC1">
      <w:pPr>
        <w:spacing w:before="400" w:after="200"/>
      </w:pPr>
      <w:r>
        <w:rPr>
          <w:rFonts w:cs="Calibri"/>
          <w:b/>
          <w:bCs/>
          <w:sz w:val="30"/>
          <w:szCs w:val="30"/>
        </w:rPr>
        <w:lastRenderedPageBreak/>
        <w:t>Import Incompressibility Adjustment</w:t>
      </w:r>
    </w:p>
    <w:p w:rsidR="00B56E5F" w:rsidRDefault="00F41AC1">
      <w:pPr>
        <w:spacing w:after="200" w:line="340" w:lineRule="auto"/>
      </w:pPr>
      <w:r>
        <w:rPr>
          <w:rFonts w:cs="Calibri"/>
        </w:rPr>
        <w:t>If your imports are mostly fuel, food, and medicine, you can't easily cut back when reserves run low. You need more buffer to survive the same s</w:t>
      </w:r>
      <w:r>
        <w:rPr>
          <w:rFonts w:cs="Calibri"/>
        </w:rPr>
        <w:t>hock.</w:t>
      </w:r>
    </w:p>
    <w:p w:rsidR="00B56E5F" w:rsidRDefault="00F41AC1">
      <w:pPr>
        <w:spacing w:after="200" w:line="340" w:lineRule="auto"/>
      </w:pPr>
      <w:r>
        <w:rPr>
          <w:rFonts w:cs="Calibri"/>
          <w:b/>
          <w:bCs/>
        </w:rPr>
        <w:t xml:space="preserve">Formula: </w:t>
      </w:r>
    </w:p>
    <w:p w:rsidR="00B56E5F" w:rsidRDefault="00F41AC1">
      <w:pPr>
        <w:shd w:val="clear" w:color="auto" w:fill="F4F4F4"/>
        <w:spacing w:before="150" w:after="150"/>
        <w:ind w:left="360" w:right="360"/>
      </w:pPr>
      <w:proofErr w:type="spellStart"/>
      <w:r>
        <w:rPr>
          <w:rFonts w:ascii="Consolas" w:eastAsia="Consolas" w:hAnsi="Consolas" w:cs="Consolas"/>
          <w:sz w:val="20"/>
          <w:szCs w:val="20"/>
        </w:rPr>
        <w:t>Δ_imports</w:t>
      </w:r>
      <w:proofErr w:type="spellEnd"/>
      <w:r>
        <w:rPr>
          <w:rFonts w:ascii="Consolas" w:eastAsia="Consolas" w:hAnsi="Consolas" w:cs="Consolas"/>
          <w:sz w:val="20"/>
          <w:szCs w:val="20"/>
        </w:rPr>
        <w:t xml:space="preserve"> = β₃ × (Essential Share - Baseline)</w:t>
      </w:r>
    </w:p>
    <w:p w:rsidR="00B56E5F" w:rsidRDefault="00F41AC1">
      <w:pPr>
        <w:spacing w:after="200" w:line="340" w:lineRule="auto"/>
      </w:pPr>
      <w:r>
        <w:rPr>
          <w:rFonts w:cs="Calibri"/>
        </w:rPr>
        <w:t>Where baseline ~50% for a typical emerging market.</w:t>
      </w:r>
    </w:p>
    <w:p w:rsidR="00B56E5F" w:rsidRDefault="00F41AC1">
      <w:pPr>
        <w:spacing w:after="200" w:line="340" w:lineRule="auto"/>
      </w:pPr>
      <w:r>
        <w:rPr>
          <w:rFonts w:cs="Calibri"/>
          <w:b/>
          <w:bCs/>
        </w:rPr>
        <w:t xml:space="preserve">For Sri Lanka: </w:t>
      </w:r>
      <w:r>
        <w:rPr>
          <w:rFonts w:cs="Calibri"/>
        </w:rPr>
        <w:t xml:space="preserve">Essential imports (fuel + food + medicine) ~40-45%, which is actually close to average. So </w:t>
      </w:r>
      <w:proofErr w:type="spellStart"/>
      <w:r>
        <w:rPr>
          <w:rFonts w:cs="Calibri"/>
        </w:rPr>
        <w:t>Δ_imports</w:t>
      </w:r>
      <w:proofErr w:type="spellEnd"/>
      <w:r>
        <w:rPr>
          <w:rFonts w:cs="Calibri"/>
        </w:rPr>
        <w:t xml:space="preserve"> ≈ 0.2 months. This factor i</w:t>
      </w:r>
      <w:r>
        <w:rPr>
          <w:rFonts w:cs="Calibri"/>
        </w:rPr>
        <w:t>s less important than I initially expected.</w:t>
      </w:r>
    </w:p>
    <w:p w:rsidR="00B56E5F" w:rsidRDefault="00F41AC1">
      <w:pPr>
        <w:spacing w:before="400" w:after="200"/>
      </w:pPr>
      <w:r>
        <w:rPr>
          <w:rFonts w:cs="Calibri"/>
          <w:b/>
          <w:bCs/>
          <w:sz w:val="30"/>
          <w:szCs w:val="30"/>
        </w:rPr>
        <w:t>ISB Rollover Concentration Adjustment</w:t>
      </w:r>
    </w:p>
    <w:p w:rsidR="00B56E5F" w:rsidRDefault="00F41AC1">
      <w:pPr>
        <w:spacing w:after="200" w:line="340" w:lineRule="auto"/>
      </w:pPr>
      <w:r>
        <w:rPr>
          <w:rFonts w:cs="Calibri"/>
        </w:rPr>
        <w:t>Sri Lanka's International Sovereign Bonds had concentrated maturities — $500M in January 2022, $1B in July 2022. Lumpy debt service creates spike risk.</w:t>
      </w:r>
    </w:p>
    <w:p w:rsidR="00B56E5F" w:rsidRDefault="00F41AC1">
      <w:pPr>
        <w:spacing w:after="200" w:line="340" w:lineRule="auto"/>
      </w:pPr>
      <w:r>
        <w:rPr>
          <w:rFonts w:cs="Calibri"/>
          <w:b/>
          <w:bCs/>
        </w:rPr>
        <w:t xml:space="preserve">Formula: </w:t>
      </w:r>
    </w:p>
    <w:p w:rsidR="00B56E5F" w:rsidRDefault="00F41AC1">
      <w:pPr>
        <w:shd w:val="clear" w:color="auto" w:fill="F4F4F4"/>
        <w:spacing w:before="150" w:after="150"/>
        <w:ind w:left="360" w:right="360"/>
      </w:pPr>
      <w:proofErr w:type="spellStart"/>
      <w:r>
        <w:rPr>
          <w:rFonts w:ascii="Consolas" w:eastAsia="Consolas" w:hAnsi="Consolas" w:cs="Consolas"/>
          <w:sz w:val="20"/>
          <w:szCs w:val="20"/>
        </w:rPr>
        <w:t>Δ_debt</w:t>
      </w:r>
      <w:proofErr w:type="spellEnd"/>
      <w:r>
        <w:rPr>
          <w:rFonts w:ascii="Consolas" w:eastAsia="Consolas" w:hAnsi="Consolas" w:cs="Consolas"/>
          <w:sz w:val="20"/>
          <w:szCs w:val="20"/>
        </w:rPr>
        <w:t xml:space="preserve"> = β₄ </w:t>
      </w:r>
      <w:r>
        <w:rPr>
          <w:rFonts w:ascii="Consolas" w:eastAsia="Consolas" w:hAnsi="Consolas" w:cs="Consolas"/>
          <w:sz w:val="20"/>
          <w:szCs w:val="20"/>
        </w:rPr>
        <w:t>× (Lumpiness Ratio - 1)</w:t>
      </w:r>
    </w:p>
    <w:p w:rsidR="00B56E5F" w:rsidRDefault="00F41AC1">
      <w:pPr>
        <w:spacing w:after="200" w:line="340" w:lineRule="auto"/>
      </w:pPr>
      <w:r>
        <w:rPr>
          <w:rFonts w:cs="Calibri"/>
        </w:rPr>
        <w:t>Where lumpiness = (max 12-month debt service) / (average 12-month debt service).</w:t>
      </w:r>
    </w:p>
    <w:p w:rsidR="00B56E5F" w:rsidRDefault="00F41AC1">
      <w:pPr>
        <w:spacing w:after="200" w:line="340" w:lineRule="auto"/>
      </w:pPr>
      <w:r>
        <w:rPr>
          <w:rFonts w:cs="Calibri"/>
          <w:b/>
          <w:bCs/>
        </w:rPr>
        <w:t xml:space="preserve">For Sri Lanka: </w:t>
      </w:r>
      <w:r>
        <w:rPr>
          <w:rFonts w:cs="Calibri"/>
        </w:rPr>
        <w:t xml:space="preserve">Lumpiness ratio ~1.5-2.0. With β₄ = 0.3 months, this gives </w:t>
      </w:r>
      <w:proofErr w:type="spellStart"/>
      <w:r>
        <w:rPr>
          <w:rFonts w:cs="Calibri"/>
        </w:rPr>
        <w:t>Δ_debt</w:t>
      </w:r>
      <w:proofErr w:type="spellEnd"/>
      <w:r>
        <w:rPr>
          <w:rFonts w:cs="Calibri"/>
        </w:rPr>
        <w:t xml:space="preserve"> ≈ 0.2 months.</w:t>
      </w:r>
    </w:p>
    <w:p w:rsidR="00B56E5F" w:rsidRDefault="00F41AC1">
      <w:pPr>
        <w:spacing w:after="200" w:line="340" w:lineRule="auto"/>
      </w:pPr>
      <w:r>
        <w:rPr>
          <w:rFonts w:cs="Calibri"/>
          <w:i/>
          <w:iCs/>
        </w:rPr>
        <w:t xml:space="preserve">Data needed: </w:t>
      </w:r>
      <w:r>
        <w:rPr>
          <w:rFonts w:cs="Calibri"/>
        </w:rPr>
        <w:t>ISB maturity schedule from CBSL debt reports.</w:t>
      </w:r>
    </w:p>
    <w:p w:rsidR="00B56E5F" w:rsidRDefault="00F41AC1">
      <w:pPr>
        <w:spacing w:before="400" w:after="200"/>
      </w:pPr>
      <w:r>
        <w:rPr>
          <w:rFonts w:cs="Calibri"/>
          <w:b/>
          <w:bCs/>
          <w:sz w:val="30"/>
          <w:szCs w:val="30"/>
        </w:rPr>
        <w:t>Total Structural Adjustment</w:t>
      </w:r>
    </w:p>
    <w:p w:rsidR="00B56E5F" w:rsidRDefault="00F41AC1">
      <w:pPr>
        <w:shd w:val="clear" w:color="auto" w:fill="F4F4F4"/>
        <w:spacing w:before="150" w:after="150"/>
        <w:ind w:left="360" w:right="360"/>
      </w:pPr>
      <w:r>
        <w:rPr>
          <w:rFonts w:ascii="Consolas" w:eastAsia="Consolas" w:hAnsi="Consolas" w:cs="Consolas"/>
          <w:sz w:val="20"/>
          <w:szCs w:val="20"/>
        </w:rPr>
        <w:t xml:space="preserve">τ*_SL = </w:t>
      </w:r>
      <w:proofErr w:type="spellStart"/>
      <w:r>
        <w:rPr>
          <w:rFonts w:ascii="Consolas" w:eastAsia="Consolas" w:hAnsi="Consolas" w:cs="Consolas"/>
          <w:sz w:val="20"/>
          <w:szCs w:val="20"/>
        </w:rPr>
        <w:t>τ_generic</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Δ_tourism</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Δ_remittance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Δ_imports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Δ_debt</w:t>
      </w:r>
      <w:proofErr w:type="spellEnd"/>
    </w:p>
    <w:p w:rsidR="00B56E5F" w:rsidRDefault="00F41AC1">
      <w:pPr>
        <w:shd w:val="clear" w:color="auto" w:fill="F4F4F4"/>
        <w:spacing w:before="150" w:after="150"/>
        <w:ind w:left="360" w:right="360"/>
      </w:pPr>
      <w:r>
        <w:rPr>
          <w:rFonts w:ascii="Consolas" w:eastAsia="Consolas" w:hAnsi="Consolas" w:cs="Consolas"/>
          <w:sz w:val="20"/>
          <w:szCs w:val="20"/>
        </w:rPr>
        <w:t>τ*_SL = 3.0 + 0.5 + 0.3 + 0.2 + 0.2 = 4.2 months</w:t>
      </w:r>
    </w:p>
    <w:p w:rsidR="00B56E5F" w:rsidRDefault="00F41AC1">
      <w:pPr>
        <w:spacing w:after="200" w:line="340" w:lineRule="auto"/>
      </w:pPr>
      <w:r>
        <w:rPr>
          <w:rFonts w:cs="Calibri"/>
        </w:rPr>
        <w:t>This matches the loss-function estimate — which is the whole point. Two independent approaches, same answer.</w:t>
      </w:r>
    </w:p>
    <w:p w:rsidR="00B56E5F" w:rsidRDefault="00F41AC1">
      <w:r>
        <w:br w:type="page"/>
      </w:r>
    </w:p>
    <w:p w:rsidR="00B56E5F" w:rsidRDefault="0008456A">
      <w:pPr>
        <w:spacing w:before="400" w:after="200"/>
      </w:pPr>
      <w:r>
        <w:rPr>
          <w:rFonts w:cs="Calibri"/>
          <w:b/>
          <w:bCs/>
          <w:sz w:val="36"/>
          <w:szCs w:val="36"/>
        </w:rPr>
        <w:lastRenderedPageBreak/>
        <w:t xml:space="preserve">The Net Usable Reserves </w:t>
      </w:r>
    </w:p>
    <w:p w:rsidR="00B56E5F" w:rsidRDefault="00F41AC1">
      <w:pPr>
        <w:spacing w:after="200" w:line="340" w:lineRule="auto"/>
      </w:pPr>
      <w:r>
        <w:rPr>
          <w:rFonts w:cs="Calibri"/>
        </w:rPr>
        <w:t>There's one more adjustment that's conceptually different: the PBOC swap facility.</w:t>
      </w:r>
    </w:p>
    <w:p w:rsidR="00B56E5F" w:rsidRDefault="00F41AC1">
      <w:pPr>
        <w:spacing w:after="200" w:line="340" w:lineRule="auto"/>
      </w:pPr>
      <w:r>
        <w:rPr>
          <w:rFonts w:cs="Calibri"/>
        </w:rPr>
        <w:t>From March 2021, Sri Lanka's g</w:t>
      </w:r>
      <w:r>
        <w:rPr>
          <w:rFonts w:cs="Calibri"/>
        </w:rPr>
        <w:t xml:space="preserve">ross reserves include ~$1.5B from a bilateral currency swap with China. But this wasn't freely usable — it had </w:t>
      </w:r>
      <w:proofErr w:type="spellStart"/>
      <w:r>
        <w:rPr>
          <w:rFonts w:cs="Calibri"/>
        </w:rPr>
        <w:t>conditionalities</w:t>
      </w:r>
      <w:proofErr w:type="spellEnd"/>
      <w:r>
        <w:rPr>
          <w:rFonts w:cs="Calibri"/>
        </w:rPr>
        <w:t xml:space="preserve"> and couldn't be deployed for intervention or import payments.</w:t>
      </w:r>
    </w:p>
    <w:p w:rsidR="00B56E5F" w:rsidRDefault="00F41AC1">
      <w:pPr>
        <w:spacing w:after="200" w:line="340" w:lineRule="auto"/>
      </w:pPr>
      <w:r w:rsidRPr="0008456A">
        <w:rPr>
          <w:rFonts w:cs="Calibri"/>
        </w:rPr>
        <w:t>This</w:t>
      </w:r>
      <w:r w:rsidR="0008456A">
        <w:rPr>
          <w:rFonts w:cs="Calibri"/>
        </w:rPr>
        <w:t xml:space="preserve"> isn't a threshold adjustment, </w:t>
      </w:r>
      <w:r w:rsidRPr="0008456A">
        <w:rPr>
          <w:rFonts w:cs="Calibri"/>
        </w:rPr>
        <w:t>it's a numerator adjustment</w:t>
      </w:r>
      <w:r>
        <w:rPr>
          <w:rFonts w:cs="Calibri"/>
          <w:b/>
          <w:bCs/>
        </w:rPr>
        <w:t>:</w:t>
      </w:r>
    </w:p>
    <w:p w:rsidR="00B56E5F" w:rsidRDefault="00F41AC1">
      <w:pPr>
        <w:shd w:val="clear" w:color="auto" w:fill="F4F4F4"/>
        <w:spacing w:before="150" w:after="150"/>
        <w:ind w:left="360" w:right="360"/>
      </w:pPr>
      <w:r>
        <w:rPr>
          <w:rFonts w:ascii="Consolas" w:eastAsia="Consolas" w:hAnsi="Consolas" w:cs="Consolas"/>
          <w:sz w:val="20"/>
          <w:szCs w:val="20"/>
        </w:rPr>
        <w:t>N</w:t>
      </w:r>
      <w:r>
        <w:rPr>
          <w:rFonts w:ascii="Consolas" w:eastAsia="Consolas" w:hAnsi="Consolas" w:cs="Consolas"/>
          <w:sz w:val="20"/>
          <w:szCs w:val="20"/>
        </w:rPr>
        <w:t>et Import Cover = (Gross Reserves - Encumbered Reserves) / Monthly Imports</w:t>
      </w:r>
    </w:p>
    <w:p w:rsidR="00B56E5F" w:rsidRDefault="00F41AC1">
      <w:pPr>
        <w:spacing w:after="200" w:line="340" w:lineRule="auto"/>
      </w:pPr>
      <w:r>
        <w:rPr>
          <w:rFonts w:cs="Calibri"/>
        </w:rPr>
        <w:t>With monthly imports around $1.8B, the PBOC swap inflates import cover by ~0.8 months. So when we reported 2.1 months in March 2021, net usable import cover was really ~1.3 months.</w:t>
      </w:r>
    </w:p>
    <w:p w:rsidR="00B56E5F" w:rsidRDefault="00F41AC1">
      <w:pPr>
        <w:spacing w:after="200" w:line="340" w:lineRule="auto"/>
      </w:pPr>
      <w:r>
        <w:rPr>
          <w:rFonts w:cs="Calibri"/>
        </w:rPr>
        <w:t>This matters for interpretation but doesn't change the optimal threshold calculation (which should be based on usable reserves).</w:t>
      </w:r>
    </w:p>
    <w:p w:rsidR="00B56E5F" w:rsidRDefault="00F41AC1">
      <w:pPr>
        <w:spacing w:before="400" w:after="200"/>
      </w:pPr>
      <w:r>
        <w:rPr>
          <w:rFonts w:cs="Calibri"/>
          <w:b/>
          <w:bCs/>
          <w:sz w:val="36"/>
          <w:szCs w:val="36"/>
        </w:rPr>
        <w:t>Validation Strategy</w:t>
      </w:r>
    </w:p>
    <w:p w:rsidR="00B56E5F" w:rsidRDefault="00F41AC1">
      <w:pPr>
        <w:spacing w:after="200" w:line="340" w:lineRule="auto"/>
      </w:pPr>
      <w:r>
        <w:rPr>
          <w:rFonts w:cs="Calibri"/>
        </w:rPr>
        <w:t>The obvious problem: we're calibrating to one crisis. How do we know we're not overfitting?</w:t>
      </w:r>
    </w:p>
    <w:p w:rsidR="00B56E5F" w:rsidRDefault="00F41AC1">
      <w:pPr>
        <w:spacing w:before="400" w:after="200"/>
      </w:pPr>
      <w:r>
        <w:rPr>
          <w:rFonts w:cs="Calibri"/>
          <w:b/>
          <w:bCs/>
          <w:sz w:val="30"/>
          <w:szCs w:val="30"/>
        </w:rPr>
        <w:t>Approach 1: 201</w:t>
      </w:r>
      <w:r>
        <w:rPr>
          <w:rFonts w:cs="Calibri"/>
          <w:b/>
          <w:bCs/>
          <w:sz w:val="30"/>
          <w:szCs w:val="30"/>
        </w:rPr>
        <w:t>8 Non-Crisis Validation</w:t>
      </w:r>
    </w:p>
    <w:p w:rsidR="00B56E5F" w:rsidRDefault="00F41AC1">
      <w:pPr>
        <w:spacing w:after="200" w:line="340" w:lineRule="auto"/>
      </w:pPr>
      <w:r>
        <w:rPr>
          <w:rFonts w:cs="Calibri"/>
        </w:rPr>
        <w:t>The 2018 political crisis and currency depreciation didn't become a full BOP crisis. Our finding that no reserve thresholds breached in 2018 is actually valuable — the 4.2-month threshold shouldn't have fired then, and it didn't. No</w:t>
      </w:r>
      <w:r>
        <w:rPr>
          <w:rFonts w:cs="Calibri"/>
        </w:rPr>
        <w:t xml:space="preserve"> false alarm during a stress event that wasn't a crisis.</w:t>
      </w:r>
    </w:p>
    <w:p w:rsidR="00B56E5F" w:rsidRDefault="00F41AC1">
      <w:pPr>
        <w:spacing w:before="400" w:after="200"/>
      </w:pPr>
      <w:r>
        <w:rPr>
          <w:rFonts w:cs="Calibri"/>
          <w:b/>
          <w:bCs/>
          <w:sz w:val="30"/>
          <w:szCs w:val="30"/>
        </w:rPr>
        <w:t>Approach 2: 2008-2009 Stress Period</w:t>
      </w:r>
    </w:p>
    <w:p w:rsidR="00B56E5F" w:rsidRDefault="00F41AC1">
      <w:pPr>
        <w:spacing w:after="200" w:line="340" w:lineRule="auto"/>
      </w:pPr>
      <w:r>
        <w:rPr>
          <w:rFonts w:cs="Calibri"/>
        </w:rPr>
        <w:t>We don't have reserve data for this period (our series starts 2013), but if we can reconstruct it from IMF IFS or CBSL archives, we can check whether the 4.2-month</w:t>
      </w:r>
      <w:r>
        <w:rPr>
          <w:rFonts w:cs="Calibri"/>
        </w:rPr>
        <w:t xml:space="preserve"> threshold would have signaled the GFC spillover appropriately.</w:t>
      </w:r>
    </w:p>
    <w:p w:rsidR="00B56E5F" w:rsidRDefault="00F41AC1">
      <w:pPr>
        <w:spacing w:before="400" w:after="200"/>
      </w:pPr>
      <w:r>
        <w:rPr>
          <w:rFonts w:cs="Calibri"/>
          <w:b/>
          <w:bCs/>
          <w:sz w:val="30"/>
          <w:szCs w:val="30"/>
        </w:rPr>
        <w:t>Approach 3: Cross-Country Indicative Comparison</w:t>
      </w:r>
    </w:p>
    <w:p w:rsidR="00B56E5F" w:rsidRDefault="00F41AC1">
      <w:pPr>
        <w:spacing w:after="200" w:line="340" w:lineRule="auto"/>
      </w:pPr>
      <w:r>
        <w:rPr>
          <w:rFonts w:cs="Calibri"/>
        </w:rPr>
        <w:lastRenderedPageBreak/>
        <w:t>If our structural adjustment framework makes sense, it should give plausible results for similar economies: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1671"/>
        <w:gridCol w:w="1671"/>
        <w:gridCol w:w="2005"/>
        <w:gridCol w:w="2005"/>
      </w:tblGrid>
      <w:tr w:rsidR="00B56E5F">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Country</w:t>
            </w:r>
          </w:p>
        </w:tc>
        <w:tc>
          <w:tcPr>
            <w:tcW w:w="156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Tourism</w:t>
            </w:r>
          </w:p>
        </w:tc>
        <w:tc>
          <w:tcPr>
            <w:tcW w:w="1560"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Remit</w:t>
            </w:r>
          </w:p>
        </w:tc>
        <w:tc>
          <w:tcPr>
            <w:tcW w:w="1872"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Adjustment</w:t>
            </w:r>
          </w:p>
        </w:tc>
        <w:tc>
          <w:tcPr>
            <w:tcW w:w="1872" w:type="dxa"/>
            <w:tcBorders>
              <w:top w:val="single" w:sz="1" w:space="0" w:color="AAAAAA"/>
              <w:left w:val="single" w:sz="1" w:space="0" w:color="AAAAAA"/>
              <w:bottom w:val="single" w:sz="1" w:space="0" w:color="AAAAAA"/>
              <w:right w:val="single" w:sz="1" w:space="0" w:color="AAAAAA"/>
            </w:tcBorders>
            <w:shd w:val="clear" w:color="auto" w:fill="2B579A"/>
            <w:tcMar>
              <w:top w:w="80" w:type="dxa"/>
              <w:left w:w="120" w:type="dxa"/>
              <w:bottom w:w="80" w:type="dxa"/>
              <w:right w:w="120" w:type="dxa"/>
            </w:tcMar>
          </w:tcPr>
          <w:p w:rsidR="00B56E5F" w:rsidRDefault="00F41AC1">
            <w:pPr>
              <w:jc w:val="center"/>
            </w:pPr>
            <w:r>
              <w:rPr>
                <w:rFonts w:cs="Calibri"/>
                <w:b/>
                <w:bCs/>
                <w:color w:val="FFFFFF"/>
                <w:sz w:val="22"/>
                <w:szCs w:val="22"/>
              </w:rPr>
              <w:t>Imp</w:t>
            </w:r>
            <w:r>
              <w:rPr>
                <w:rFonts w:cs="Calibri"/>
                <w:b/>
                <w:bCs/>
                <w:color w:val="FFFFFF"/>
                <w:sz w:val="22"/>
                <w:szCs w:val="22"/>
              </w:rPr>
              <w:t>lied τ*</w:t>
            </w:r>
          </w:p>
        </w:tc>
      </w:tr>
      <w:tr w:rsidR="00B56E5F">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Sri Lanka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18%</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25%</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 xml:space="preserve">+1.2 </w:t>
            </w:r>
            <w:proofErr w:type="spellStart"/>
            <w:r>
              <w:rPr>
                <w:rFonts w:cs="Calibri"/>
                <w:color w:val="000000"/>
                <w:sz w:val="22"/>
                <w:szCs w:val="22"/>
              </w:rPr>
              <w:t>mo</w:t>
            </w:r>
            <w:proofErr w:type="spellEnd"/>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4.2 months</w:t>
            </w:r>
          </w:p>
        </w:tc>
      </w:tr>
      <w:tr w:rsidR="00B56E5F">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Maldives</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60%</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2%</w:t>
            </w:r>
          </w:p>
        </w:tc>
        <w:tc>
          <w:tcPr>
            <w:tcW w:w="1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 xml:space="preserve">+1.8 </w:t>
            </w:r>
            <w:proofErr w:type="spellStart"/>
            <w:r>
              <w:rPr>
                <w:rFonts w:cs="Calibri"/>
                <w:color w:val="000000"/>
                <w:sz w:val="22"/>
                <w:szCs w:val="22"/>
              </w:rPr>
              <w:t>mo</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4.8 months</w:t>
            </w:r>
          </w:p>
        </w:tc>
      </w:tr>
      <w:tr w:rsidR="00B56E5F">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Nepal</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3%</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28%</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 xml:space="preserve">+0.6 </w:t>
            </w:r>
            <w:proofErr w:type="spellStart"/>
            <w:r>
              <w:rPr>
                <w:rFonts w:cs="Calibri"/>
                <w:color w:val="000000"/>
                <w:sz w:val="22"/>
                <w:szCs w:val="22"/>
              </w:rPr>
              <w:t>mo</w:t>
            </w:r>
            <w:proofErr w:type="spellEnd"/>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56E5F" w:rsidRDefault="00F41AC1">
            <w:pPr>
              <w:jc w:val="center"/>
            </w:pPr>
            <w:r>
              <w:rPr>
                <w:rFonts w:cs="Calibri"/>
                <w:color w:val="000000"/>
                <w:sz w:val="22"/>
                <w:szCs w:val="22"/>
              </w:rPr>
              <w:t>3.6 months</w:t>
            </w:r>
          </w:p>
        </w:tc>
      </w:tr>
      <w:tr w:rsidR="00B56E5F">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Jordan</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12%</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15%</w:t>
            </w:r>
          </w:p>
        </w:tc>
        <w:tc>
          <w:tcPr>
            <w:tcW w:w="1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 xml:space="preserve">+0.7 </w:t>
            </w:r>
            <w:proofErr w:type="spellStart"/>
            <w:r>
              <w:rPr>
                <w:rFonts w:cs="Calibri"/>
                <w:color w:val="000000"/>
                <w:sz w:val="22"/>
                <w:szCs w:val="22"/>
              </w:rPr>
              <w:t>mo</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B56E5F" w:rsidRDefault="00F41AC1">
            <w:pPr>
              <w:jc w:val="center"/>
            </w:pPr>
            <w:r>
              <w:rPr>
                <w:rFonts w:cs="Calibri"/>
                <w:color w:val="000000"/>
                <w:sz w:val="22"/>
                <w:szCs w:val="22"/>
              </w:rPr>
              <w:t>3.7 months</w:t>
            </w:r>
          </w:p>
        </w:tc>
      </w:tr>
    </w:tbl>
    <w:p w:rsidR="00B56E5F" w:rsidRDefault="00B56E5F">
      <w:pPr>
        <w:spacing w:after="200"/>
      </w:pPr>
    </w:p>
    <w:p w:rsidR="00B56E5F" w:rsidRDefault="00F41AC1">
      <w:pPr>
        <w:spacing w:after="200" w:line="340" w:lineRule="auto"/>
      </w:pPr>
      <w:r>
        <w:rPr>
          <w:rFonts w:cs="Calibri"/>
        </w:rPr>
        <w:t>These are illustrative — not claiming we've validated the framework for these countries. But the numbers are plausible, not crazy.</w:t>
      </w:r>
    </w:p>
    <w:p w:rsidR="00B56E5F" w:rsidRDefault="00F41AC1">
      <w:r>
        <w:br w:type="page"/>
      </w:r>
    </w:p>
    <w:p w:rsidR="00B56E5F" w:rsidRDefault="000B7A2B">
      <w:pPr>
        <w:spacing w:before="400" w:after="200"/>
      </w:pPr>
      <w:r>
        <w:rPr>
          <w:rFonts w:cs="Calibri"/>
          <w:b/>
          <w:bCs/>
          <w:sz w:val="36"/>
          <w:szCs w:val="36"/>
        </w:rPr>
        <w:lastRenderedPageBreak/>
        <w:t>Limitations</w:t>
      </w:r>
    </w:p>
    <w:p w:rsidR="00B56E5F" w:rsidRDefault="00F41AC1">
      <w:pPr>
        <w:spacing w:before="400" w:after="200"/>
      </w:pPr>
      <w:r>
        <w:rPr>
          <w:rFonts w:cs="Calibri"/>
          <w:b/>
          <w:bCs/>
          <w:sz w:val="30"/>
          <w:szCs w:val="30"/>
        </w:rPr>
        <w:t>1. One Crisis Problem</w:t>
      </w:r>
    </w:p>
    <w:p w:rsidR="00B56E5F" w:rsidRDefault="00F41AC1">
      <w:pPr>
        <w:spacing w:after="200" w:line="340" w:lineRule="auto"/>
      </w:pPr>
      <w:r>
        <w:rPr>
          <w:rFonts w:cs="Calibri"/>
        </w:rPr>
        <w:t>We're optimizing to a single event. The "optimal" threshold for th</w:t>
      </w:r>
      <w:r>
        <w:rPr>
          <w:rFonts w:cs="Calibri"/>
        </w:rPr>
        <w:t>e 2022 BOP/fiscal crisis might not be optimal for a pure capital flight crisis, or a terms-of-trade shock, or a banking crisis. We should frame this as "optimal for BOP/debt crises" not "optimal for all crises."</w:t>
      </w:r>
    </w:p>
    <w:p w:rsidR="00B56E5F" w:rsidRDefault="00F41AC1">
      <w:pPr>
        <w:spacing w:before="400" w:after="200"/>
      </w:pPr>
      <w:r>
        <w:rPr>
          <w:rFonts w:cs="Calibri"/>
          <w:b/>
          <w:bCs/>
          <w:sz w:val="30"/>
          <w:szCs w:val="30"/>
        </w:rPr>
        <w:t>2. Structural Factors Are Correlated</w:t>
      </w:r>
    </w:p>
    <w:p w:rsidR="00B56E5F" w:rsidRDefault="00F41AC1">
      <w:pPr>
        <w:spacing w:after="200" w:line="340" w:lineRule="auto"/>
      </w:pPr>
      <w:r>
        <w:rPr>
          <w:rFonts w:cs="Calibri"/>
        </w:rPr>
        <w:t>Tourism</w:t>
      </w:r>
      <w:r>
        <w:rPr>
          <w:rFonts w:cs="Calibri"/>
        </w:rPr>
        <w:t xml:space="preserve"> dependence, remittance reliance, and import structure aren't independent — they all reflect being a small, open, developing economy. We can't cleanly identify causal effects of individual factors. Present the decomposition as "illustrative allocation" not</w:t>
      </w:r>
      <w:r>
        <w:rPr>
          <w:rFonts w:cs="Calibri"/>
        </w:rPr>
        <w:t xml:space="preserve"> "causal contribution."</w:t>
      </w:r>
    </w:p>
    <w:p w:rsidR="00B56E5F" w:rsidRDefault="00F41AC1">
      <w:pPr>
        <w:spacing w:before="400" w:after="200"/>
      </w:pPr>
      <w:r>
        <w:rPr>
          <w:rFonts w:cs="Calibri"/>
          <w:b/>
          <w:bCs/>
          <w:sz w:val="30"/>
          <w:szCs w:val="30"/>
        </w:rPr>
        <w:t>3. The β Coefficients Are Judgment Calls</w:t>
      </w:r>
    </w:p>
    <w:p w:rsidR="00B56E5F" w:rsidRDefault="00F41AC1">
      <w:pPr>
        <w:spacing w:after="200" w:line="340" w:lineRule="auto"/>
      </w:pPr>
      <w:r>
        <w:rPr>
          <w:rFonts w:cs="Calibri"/>
        </w:rPr>
        <w:t>The scaling factors (β₁ = 2 months for tourism, β₂ = 3 months for remittances, etc.) are calibrated to give reasonable magnitudes, not estimated from data. Be transparent about this. Sensitiv</w:t>
      </w:r>
      <w:r>
        <w:rPr>
          <w:rFonts w:cs="Calibri"/>
        </w:rPr>
        <w:t>ity analysis helps.</w:t>
      </w:r>
    </w:p>
    <w:p w:rsidR="00B56E5F" w:rsidRDefault="00F41AC1">
      <w:pPr>
        <w:spacing w:before="400" w:after="200"/>
      </w:pPr>
      <w:r>
        <w:rPr>
          <w:rFonts w:cs="Calibri"/>
          <w:b/>
          <w:bCs/>
          <w:sz w:val="30"/>
          <w:szCs w:val="30"/>
        </w:rPr>
        <w:t>4. Threshold Isn't Stationary</w:t>
      </w:r>
    </w:p>
    <w:p w:rsidR="00B56E5F" w:rsidRDefault="00F41AC1">
      <w:pPr>
        <w:spacing w:after="200" w:line="340" w:lineRule="auto"/>
      </w:pPr>
      <w:r>
        <w:rPr>
          <w:rFonts w:cs="Calibri"/>
        </w:rPr>
        <w:t>The "right" threshold for 2015 might differ from 2021 because debt structure evolved, tourism share changed, global risk appetite varied. Could show how structural adjustment would have evolved if recalculated annually.</w:t>
      </w:r>
    </w:p>
    <w:p w:rsidR="00B56E5F" w:rsidRDefault="00F41AC1">
      <w:pPr>
        <w:spacing w:before="400" w:after="200"/>
      </w:pPr>
      <w:r>
        <w:rPr>
          <w:rFonts w:cs="Calibri"/>
          <w:b/>
          <w:bCs/>
          <w:sz w:val="30"/>
          <w:szCs w:val="30"/>
        </w:rPr>
        <w:t>5. The α Weight Is a Value Judgment</w:t>
      </w:r>
    </w:p>
    <w:p w:rsidR="00B56E5F" w:rsidRDefault="00F41AC1">
      <w:pPr>
        <w:spacing w:after="200" w:line="340" w:lineRule="auto"/>
      </w:pPr>
      <w:r>
        <w:rPr>
          <w:rFonts w:cs="Calibri"/>
        </w:rPr>
        <w:t>We can't estimate the relative cost of missed crises vs false alarms from data. We present results for a range of α values and let policymakers choose their risk tolerance. This is a feature, not a bug — but it means we're not giving a single "answer."</w:t>
      </w:r>
    </w:p>
    <w:p w:rsidR="00B56E5F" w:rsidRDefault="00F41AC1">
      <w:pPr>
        <w:spacing w:before="400" w:after="200"/>
      </w:pPr>
      <w:r>
        <w:rPr>
          <w:rFonts w:cs="Calibri"/>
          <w:b/>
          <w:bCs/>
          <w:sz w:val="36"/>
          <w:szCs w:val="36"/>
        </w:rPr>
        <w:t>Wha</w:t>
      </w:r>
      <w:r>
        <w:rPr>
          <w:rFonts w:cs="Calibri"/>
          <w:b/>
          <w:bCs/>
          <w:sz w:val="36"/>
          <w:szCs w:val="36"/>
        </w:rPr>
        <w:t>t This Extension Adds to the Paper</w:t>
      </w:r>
    </w:p>
    <w:p w:rsidR="00B56E5F" w:rsidRDefault="00F41AC1">
      <w:pPr>
        <w:spacing w:after="200" w:line="340" w:lineRule="auto"/>
      </w:pPr>
      <w:r>
        <w:rPr>
          <w:rFonts w:cs="Calibri"/>
        </w:rPr>
        <w:lastRenderedPageBreak/>
        <w:t>The base paper is descriptive: "Here's when Sri Lanka breached standard thresholds." That's useful but limited.</w:t>
      </w:r>
    </w:p>
    <w:p w:rsidR="00B56E5F" w:rsidRDefault="00F41AC1">
      <w:pPr>
        <w:spacing w:after="200" w:line="340" w:lineRule="auto"/>
      </w:pPr>
      <w:r>
        <w:rPr>
          <w:rFonts w:cs="Calibri"/>
        </w:rPr>
        <w:t>This extension makes it prescriptive: "Here's what thresholds Sri Lanka should have been using, why they diff</w:t>
      </w:r>
      <w:r>
        <w:rPr>
          <w:rFonts w:cs="Calibri"/>
        </w:rPr>
        <w:t>er from generic benchmarks, and how to calibrate thresholds for similar economies."</w:t>
      </w:r>
    </w:p>
    <w:p w:rsidR="00B56E5F" w:rsidRDefault="00F41AC1">
      <w:pPr>
        <w:spacing w:after="200" w:line="340" w:lineRule="auto"/>
      </w:pPr>
      <w:r>
        <w:rPr>
          <w:rFonts w:cs="Calibri"/>
        </w:rPr>
        <w:t>The methodological contribution is more durable than the case study. Other researchers can apply this framework to other countries facing similar structural vulnerabilities</w:t>
      </w:r>
      <w:r>
        <w:rPr>
          <w:rFonts w:cs="Calibri"/>
        </w:rPr>
        <w:t>. That's what gets the paper into journals like JIMF or JBF rather than just regional outlets.</w:t>
      </w:r>
    </w:p>
    <w:p w:rsidR="00B56E5F" w:rsidRDefault="00F41AC1" w:rsidP="000C3D42">
      <w:pPr>
        <w:pStyle w:val="ListParagraph"/>
        <w:numPr>
          <w:ilvl w:val="0"/>
          <w:numId w:val="4"/>
        </w:numPr>
        <w:spacing w:after="100"/>
      </w:pPr>
      <w:r w:rsidRPr="000C3D42">
        <w:rPr>
          <w:b/>
          <w:bCs/>
        </w:rPr>
        <w:t>Fill in the false alarm table from the import cover time series (2013-2019)</w:t>
      </w:r>
    </w:p>
    <w:p w:rsidR="00B56E5F" w:rsidRDefault="00F41AC1" w:rsidP="000C3D42">
      <w:pPr>
        <w:pStyle w:val="ListParagraph"/>
        <w:numPr>
          <w:ilvl w:val="0"/>
          <w:numId w:val="4"/>
        </w:numPr>
        <w:spacing w:after="100"/>
      </w:pPr>
      <w:r>
        <w:rPr>
          <w:b/>
          <w:bCs/>
        </w:rPr>
        <w:t>C</w:t>
      </w:r>
      <w:r>
        <w:rPr>
          <w:b/>
          <w:bCs/>
        </w:rPr>
        <w:t>alculate tourism earnings volatility from BOP data (monthly, 2015-2019)</w:t>
      </w:r>
    </w:p>
    <w:p w:rsidR="00B56E5F" w:rsidRDefault="00F41AC1" w:rsidP="000C3D42">
      <w:pPr>
        <w:pStyle w:val="ListParagraph"/>
        <w:numPr>
          <w:ilvl w:val="0"/>
          <w:numId w:val="4"/>
        </w:numPr>
        <w:spacing w:after="100"/>
      </w:pPr>
      <w:r>
        <w:rPr>
          <w:b/>
          <w:bCs/>
        </w:rPr>
        <w:t>Get ISB maturity schedule for lumpiness calculation</w:t>
      </w:r>
    </w:p>
    <w:p w:rsidR="00B56E5F" w:rsidRDefault="00F41AC1" w:rsidP="000C3D42">
      <w:pPr>
        <w:pStyle w:val="ListParagraph"/>
        <w:numPr>
          <w:ilvl w:val="0"/>
          <w:numId w:val="4"/>
        </w:numPr>
        <w:spacing w:after="100"/>
      </w:pPr>
      <w:r>
        <w:rPr>
          <w:b/>
          <w:bCs/>
        </w:rPr>
        <w:t>Run loss function optimization for α ∈ {0.6, 0.7, 0.8, 0.9}</w:t>
      </w:r>
    </w:p>
    <w:p w:rsidR="00B56E5F" w:rsidRDefault="00F41AC1" w:rsidP="000C3D42">
      <w:pPr>
        <w:pStyle w:val="ListParagraph"/>
        <w:numPr>
          <w:ilvl w:val="0"/>
          <w:numId w:val="4"/>
        </w:numPr>
        <w:spacing w:after="200"/>
      </w:pPr>
      <w:r>
        <w:rPr>
          <w:b/>
          <w:bCs/>
        </w:rPr>
        <w:t>Build the trade-off frontier visualization</w:t>
      </w:r>
    </w:p>
    <w:p w:rsidR="00B56E5F" w:rsidRDefault="00B56E5F">
      <w:pPr>
        <w:pBdr>
          <w:bottom w:val="single" w:sz="6" w:space="0" w:color="2B579A"/>
        </w:pBdr>
        <w:spacing w:before="400" w:after="200"/>
      </w:pPr>
    </w:p>
    <w:p w:rsidR="00B56E5F" w:rsidRDefault="00F41AC1">
      <w:pPr>
        <w:spacing w:after="200" w:line="340" w:lineRule="auto"/>
      </w:pPr>
      <w:bookmarkStart w:id="0" w:name="_GoBack"/>
      <w:bookmarkEnd w:id="0"/>
      <w:r>
        <w:rPr>
          <w:rFonts w:cs="Calibri"/>
        </w:rPr>
        <w:t>.</w:t>
      </w:r>
    </w:p>
    <w:sectPr w:rsidR="00B56E5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1AC1" w:rsidRDefault="00F41AC1">
      <w:r>
        <w:separator/>
      </w:r>
    </w:p>
  </w:endnote>
  <w:endnote w:type="continuationSeparator" w:id="0">
    <w:p w:rsidR="00F41AC1" w:rsidRDefault="00F41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Chaparral Pro Light"/>
    <w:panose1 w:val="02000400000000000000"/>
    <w:charset w:val="01"/>
    <w:family w:val="roman"/>
    <w:pitch w:val="variable"/>
    <w:sig w:usb0="0004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E5F" w:rsidRDefault="00F41AC1">
    <w:pPr>
      <w:jc w:val="center"/>
    </w:pPr>
    <w:r>
      <w:rPr>
        <w:rFonts w:cs="Calibri"/>
        <w:color w:val="888888"/>
        <w:sz w:val="20"/>
        <w:szCs w:val="20"/>
      </w:rPr>
      <w:t xml:space="preserve">DRAFT — </w:t>
    </w:r>
    <w:r>
      <w:rPr>
        <w:rFonts w:cs="Calibri"/>
        <w:color w:val="888888"/>
        <w:sz w:val="20"/>
        <w:szCs w:val="20"/>
      </w:rPr>
      <w:fldChar w:fldCharType="begin"/>
    </w:r>
    <w:r>
      <w:rPr>
        <w:rFonts w:cs="Calibri"/>
        <w:color w:val="888888"/>
        <w:sz w:val="20"/>
        <w:szCs w:val="20"/>
      </w:rPr>
      <w:instrText>PAGE</w:instrText>
    </w:r>
    <w:r w:rsidR="00BB3332">
      <w:rPr>
        <w:rFonts w:cs="Calibri"/>
        <w:color w:val="888888"/>
        <w:sz w:val="20"/>
        <w:szCs w:val="20"/>
      </w:rPr>
      <w:fldChar w:fldCharType="separate"/>
    </w:r>
    <w:r w:rsidR="000C3D42">
      <w:rPr>
        <w:rFonts w:cs="Calibri"/>
        <w:noProof/>
        <w:color w:val="888888"/>
        <w:sz w:val="20"/>
        <w:szCs w:val="20"/>
      </w:rPr>
      <w:t>9</w:t>
    </w:r>
    <w:r>
      <w:rPr>
        <w:rFonts w:cs="Calibri"/>
        <w:color w:val="888888"/>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1AC1" w:rsidRDefault="00F41AC1">
      <w:r>
        <w:separator/>
      </w:r>
    </w:p>
  </w:footnote>
  <w:footnote w:type="continuationSeparator" w:id="0">
    <w:p w:rsidR="00F41AC1" w:rsidRDefault="00F41A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BF2A9C"/>
    <w:multiLevelType w:val="hybridMultilevel"/>
    <w:tmpl w:val="9AD2E886"/>
    <w:lvl w:ilvl="0" w:tplc="1A68868A">
      <w:start w:val="1"/>
      <w:numFmt w:val="bullet"/>
      <w:lvlText w:val="●"/>
      <w:lvlJc w:val="left"/>
      <w:pPr>
        <w:ind w:left="720" w:hanging="360"/>
      </w:pPr>
    </w:lvl>
    <w:lvl w:ilvl="1" w:tplc="D18A3F1C">
      <w:start w:val="1"/>
      <w:numFmt w:val="bullet"/>
      <w:lvlText w:val="○"/>
      <w:lvlJc w:val="left"/>
      <w:pPr>
        <w:ind w:left="1440" w:hanging="360"/>
      </w:pPr>
    </w:lvl>
    <w:lvl w:ilvl="2" w:tplc="99FCEA3E">
      <w:start w:val="1"/>
      <w:numFmt w:val="bullet"/>
      <w:lvlText w:val="■"/>
      <w:lvlJc w:val="left"/>
      <w:pPr>
        <w:ind w:left="2160" w:hanging="360"/>
      </w:pPr>
    </w:lvl>
    <w:lvl w:ilvl="3" w:tplc="F79264E4">
      <w:start w:val="1"/>
      <w:numFmt w:val="bullet"/>
      <w:lvlText w:val="●"/>
      <w:lvlJc w:val="left"/>
      <w:pPr>
        <w:ind w:left="2880" w:hanging="360"/>
      </w:pPr>
    </w:lvl>
    <w:lvl w:ilvl="4" w:tplc="02AAA4CE">
      <w:start w:val="1"/>
      <w:numFmt w:val="bullet"/>
      <w:lvlText w:val="○"/>
      <w:lvlJc w:val="left"/>
      <w:pPr>
        <w:ind w:left="3600" w:hanging="360"/>
      </w:pPr>
    </w:lvl>
    <w:lvl w:ilvl="5" w:tplc="FFE20F38">
      <w:start w:val="1"/>
      <w:numFmt w:val="bullet"/>
      <w:lvlText w:val="■"/>
      <w:lvlJc w:val="left"/>
      <w:pPr>
        <w:ind w:left="4320" w:hanging="360"/>
      </w:pPr>
    </w:lvl>
    <w:lvl w:ilvl="6" w:tplc="26700562">
      <w:start w:val="1"/>
      <w:numFmt w:val="bullet"/>
      <w:lvlText w:val="●"/>
      <w:lvlJc w:val="left"/>
      <w:pPr>
        <w:ind w:left="5040" w:hanging="360"/>
      </w:pPr>
    </w:lvl>
    <w:lvl w:ilvl="7" w:tplc="C0BA2E10">
      <w:start w:val="1"/>
      <w:numFmt w:val="bullet"/>
      <w:lvlText w:val="●"/>
      <w:lvlJc w:val="left"/>
      <w:pPr>
        <w:ind w:left="5760" w:hanging="360"/>
      </w:pPr>
    </w:lvl>
    <w:lvl w:ilvl="8" w:tplc="ABDA6B32">
      <w:start w:val="1"/>
      <w:numFmt w:val="bullet"/>
      <w:lvlText w:val="●"/>
      <w:lvlJc w:val="left"/>
      <w:pPr>
        <w:ind w:left="6480" w:hanging="360"/>
      </w:pPr>
    </w:lvl>
  </w:abstractNum>
  <w:abstractNum w:abstractNumId="1" w15:restartNumberingAfterBreak="0">
    <w:nsid w:val="41580A79"/>
    <w:multiLevelType w:val="hybridMultilevel"/>
    <w:tmpl w:val="49C44E4E"/>
    <w:lvl w:ilvl="0" w:tplc="A5B8FF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EF2718"/>
    <w:multiLevelType w:val="hybridMultilevel"/>
    <w:tmpl w:val="020CECEA"/>
    <w:lvl w:ilvl="0" w:tplc="8AE28790">
      <w:start w:val="1"/>
      <w:numFmt w:val="decimal"/>
      <w:lvlText w:val="%1."/>
      <w:lvlJc w:val="left"/>
      <w:pPr>
        <w:ind w:left="720" w:hanging="360"/>
      </w:pPr>
    </w:lvl>
    <w:lvl w:ilvl="1" w:tplc="228A8068">
      <w:numFmt w:val="decimal"/>
      <w:lvlText w:val=""/>
      <w:lvlJc w:val="left"/>
    </w:lvl>
    <w:lvl w:ilvl="2" w:tplc="A9BC3FF0">
      <w:numFmt w:val="decimal"/>
      <w:lvlText w:val=""/>
      <w:lvlJc w:val="left"/>
    </w:lvl>
    <w:lvl w:ilvl="3" w:tplc="2E8E5DE6">
      <w:numFmt w:val="decimal"/>
      <w:lvlText w:val=""/>
      <w:lvlJc w:val="left"/>
    </w:lvl>
    <w:lvl w:ilvl="4" w:tplc="B2AC1698">
      <w:numFmt w:val="decimal"/>
      <w:lvlText w:val=""/>
      <w:lvlJc w:val="left"/>
    </w:lvl>
    <w:lvl w:ilvl="5" w:tplc="17DE18F0">
      <w:numFmt w:val="decimal"/>
      <w:lvlText w:val=""/>
      <w:lvlJc w:val="left"/>
    </w:lvl>
    <w:lvl w:ilvl="6" w:tplc="0702379A">
      <w:numFmt w:val="decimal"/>
      <w:lvlText w:val=""/>
      <w:lvlJc w:val="left"/>
    </w:lvl>
    <w:lvl w:ilvl="7" w:tplc="9D728C4E">
      <w:numFmt w:val="decimal"/>
      <w:lvlText w:val=""/>
      <w:lvlJc w:val="left"/>
    </w:lvl>
    <w:lvl w:ilvl="8" w:tplc="29AE649C">
      <w:numFmt w:val="decimal"/>
      <w:lvlText w:val=""/>
      <w:lvlJc w:val="left"/>
    </w:lvl>
  </w:abstractNum>
  <w:abstractNum w:abstractNumId="3" w15:restartNumberingAfterBreak="0">
    <w:nsid w:val="6D1C284D"/>
    <w:multiLevelType w:val="hybridMultilevel"/>
    <w:tmpl w:val="BBE28792"/>
    <w:lvl w:ilvl="0" w:tplc="5B5A1AF4">
      <w:start w:val="1"/>
      <w:numFmt w:val="bullet"/>
      <w:lvlText w:val="•"/>
      <w:lvlJc w:val="left"/>
      <w:pPr>
        <w:ind w:left="720" w:hanging="360"/>
      </w:pPr>
    </w:lvl>
    <w:lvl w:ilvl="1" w:tplc="6A1C15E8">
      <w:numFmt w:val="decimal"/>
      <w:lvlText w:val=""/>
      <w:lvlJc w:val="left"/>
    </w:lvl>
    <w:lvl w:ilvl="2" w:tplc="B3B0FD7A">
      <w:numFmt w:val="decimal"/>
      <w:lvlText w:val=""/>
      <w:lvlJc w:val="left"/>
    </w:lvl>
    <w:lvl w:ilvl="3" w:tplc="F7063CA4">
      <w:numFmt w:val="decimal"/>
      <w:lvlText w:val=""/>
      <w:lvlJc w:val="left"/>
    </w:lvl>
    <w:lvl w:ilvl="4" w:tplc="C0E0C702">
      <w:numFmt w:val="decimal"/>
      <w:lvlText w:val=""/>
      <w:lvlJc w:val="left"/>
    </w:lvl>
    <w:lvl w:ilvl="5" w:tplc="134CB120">
      <w:numFmt w:val="decimal"/>
      <w:lvlText w:val=""/>
      <w:lvlJc w:val="left"/>
    </w:lvl>
    <w:lvl w:ilvl="6" w:tplc="BFC0BB16">
      <w:numFmt w:val="decimal"/>
      <w:lvlText w:val=""/>
      <w:lvlJc w:val="left"/>
    </w:lvl>
    <w:lvl w:ilvl="7" w:tplc="AF84DC74">
      <w:numFmt w:val="decimal"/>
      <w:lvlText w:val=""/>
      <w:lvlJc w:val="left"/>
    </w:lvl>
    <w:lvl w:ilvl="8" w:tplc="E160CDCC">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E5F"/>
    <w:rsid w:val="0008456A"/>
    <w:rsid w:val="000B7A2B"/>
    <w:rsid w:val="000C3D42"/>
    <w:rsid w:val="00B56E5F"/>
    <w:rsid w:val="00BB3332"/>
    <w:rsid w:val="00F41AC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DBF9"/>
  <w15:docId w15:val="{3101C5A9-CD53-4ED8-8490-297AD09CA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spacing w:before="400" w:after="200"/>
      <w:outlineLvl w:val="0"/>
    </w:pPr>
    <w:rPr>
      <w:b/>
      <w:bCs/>
      <w:color w:val="2B579A"/>
      <w:sz w:val="36"/>
      <w:szCs w:val="36"/>
    </w:rPr>
  </w:style>
  <w:style w:type="paragraph" w:styleId="Heading2">
    <w:name w:val="heading 2"/>
    <w:qFormat/>
    <w:pPr>
      <w:spacing w:before="360" w:after="180"/>
      <w:outlineLvl w:val="1"/>
    </w:pPr>
    <w:rPr>
      <w:b/>
      <w:bCs/>
      <w:color w:val="2B579A"/>
      <w:sz w:val="30"/>
      <w:szCs w:val="30"/>
    </w:rPr>
  </w:style>
  <w:style w:type="paragraph" w:styleId="Heading3">
    <w:name w:val="heading 3"/>
    <w:qFormat/>
    <w:pPr>
      <w:spacing w:before="280" w:after="140"/>
      <w:outlineLvl w:val="2"/>
    </w:pPr>
    <w:rPr>
      <w:b/>
      <w:bCs/>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1720</Words>
  <Characters>9806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cp:lastPrinted>2026-01-19T02:20:00Z</cp:lastPrinted>
  <dcterms:created xsi:type="dcterms:W3CDTF">2026-01-19T02:12:00Z</dcterms:created>
  <dcterms:modified xsi:type="dcterms:W3CDTF">2026-01-19T02:27:00Z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4ff3c0cf-2d33-47eb-8d61-2ebb87bf613d</vt:lpwstr>
  </property>
</Properties>
</file>