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Reserve Adequacy Thresholds as Early Warning Indicators:</w:t>
      </w:r>
    </w:p>
    <w:p>
      <w:pPr>
        <w:spacing w:after="240"/>
        <w:jc w:val="center"/>
      </w:pPr>
      <w:r>
        <w:rPr>
          <w:rFonts w:ascii="Times New Roman" w:cs="Times New Roman" w:eastAsia="Times New Roman" w:hAnsi="Times New Roman"/>
          <w:b/>
          <w:bCs/>
          <w:sz w:val="32"/>
          <w:szCs w:val="32"/>
        </w:rPr>
        <w:t xml:space="preserve">Evidence from Sri Lanka's 2022 Sovereign Default</w:t>
      </w:r>
    </w:p>
    <w:p>
      <w:pPr>
        <w:spacing w:after="480"/>
        <w:jc w:val="center"/>
      </w:pPr>
      <w:r>
        <w:rPr>
          <w:rFonts w:ascii="Times New Roman" w:cs="Times New Roman" w:eastAsia="Times New Roman" w:hAnsi="Times New Roman"/>
          <w:i/>
          <w:iCs/>
          <w:sz w:val="24"/>
          <w:szCs w:val="24"/>
        </w:rPr>
        <w:t xml:space="preserve">Working Paper Draft - January 2026</w:t>
      </w:r>
    </w:p>
    <w:p>
      <w:pPr>
        <w:spacing w:after="200"/>
      </w:pPr>
      <w:r>
        <w:rPr>
          <w:rFonts w:ascii="Times New Roman" w:cs="Times New Roman" w:eastAsia="Times New Roman" w:hAnsi="Times New Roman"/>
          <w:b/>
          <w:bCs/>
          <w:sz w:val="24"/>
          <w:szCs w:val="24"/>
        </w:rPr>
        <w:t xml:space="preserve">Abstract</w:t>
      </w:r>
    </w:p>
    <w:p>
      <w:pPr>
        <w:spacing w:after="200" w:line="276"/>
      </w:pPr>
      <w:r>
        <w:rPr>
          <w:rFonts w:ascii="Times New Roman" w:cs="Times New Roman" w:eastAsia="Times New Roman" w:hAnsi="Times New Roman"/>
          <w:sz w:val="24"/>
          <w:szCs w:val="24"/>
        </w:rPr>
        <w:t xml:space="preserve">When do foreign exchange reserves become critically insufficient, and how should adequacy thresholds be calibrated to country-specific structural vulnerabilities? This paper uses Sri Lanka's April 2022 sovereign default to address both questions. We first evaluate the predictive performance of standard reserve adequacy metrics—import cover ratios, the Greenspan-Guidotti rule, and the IMF's Assessing Reserve Adequacy (ARA) framework—finding that multiple benchmarks provided </w:t>
      </w:r>
      <w:r>
        <w:rPr>
          <w:rFonts w:ascii="Times New Roman" w:cs="Times New Roman" w:eastAsia="Times New Roman" w:hAnsi="Times New Roman"/>
          <w:i/>
          <w:iCs/>
          <w:sz w:val="24"/>
          <w:szCs w:val="24"/>
        </w:rPr>
        <w:t xml:space="preserve">six to nine months</w:t>
      </w:r>
      <w:r>
        <w:rPr>
          <w:rFonts w:ascii="Times New Roman" w:cs="Times New Roman" w:eastAsia="Times New Roman" w:hAnsi="Times New Roman"/>
          <w:sz w:val="24"/>
          <w:szCs w:val="24"/>
        </w:rPr>
        <w:t xml:space="preserve"> of actionable warning before default. We then derive Sri Lanka-specific optimal thresholds using a loss function framework that balances missed crises against false alarms. The optimal import cover threshold for Sri Lanka is approximately </w:t>
      </w:r>
      <w:r>
        <w:rPr>
          <w:rFonts w:ascii="Times New Roman" w:cs="Times New Roman" w:eastAsia="Times New Roman" w:hAnsi="Times New Roman"/>
          <w:b/>
          <w:bCs/>
          <w:sz w:val="24"/>
          <w:szCs w:val="24"/>
        </w:rPr>
        <w:t xml:space="preserve">4.2 months</w:t>
      </w:r>
      <w:r>
        <w:rPr>
          <w:rFonts w:ascii="Times New Roman" w:cs="Times New Roman" w:eastAsia="Times New Roman" w:hAnsi="Times New Roman"/>
          <w:sz w:val="24"/>
          <w:szCs w:val="24"/>
        </w:rPr>
        <w:t xml:space="preserve">—substantially higher than the conventional 3-month benchmark—reflecting the country's tourism dependence, remittance vulnerability under exchange rate stress, and concentrated external debt maturities. We decompose this structural adjustment and propose a framework for calibrating country-specific thresholds applicable to other emerging markets with similar characteristics. Our findings suggest that generic reserve adequacy thresholds systematically understate buffer requirements for structurally vulnerable economies.</w:t>
      </w:r>
    </w:p>
    <w:p>
      <w:pPr>
        <w:spacing w:after="20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reserve adequacy, sovereign default, early warning indicators, optimal thresholds, structural vulnerability, import cover, Greenspan-Guidotti, IMF ARA, Sri Lanka</w:t>
      </w:r>
    </w:p>
    <w:p>
      <w:pPr>
        <w:spacing w:after="200" w:line="276"/>
      </w:pPr>
      <w:r>
        <w:rPr>
          <w:rFonts w:ascii="Times New Roman" w:cs="Times New Roman" w:eastAsia="Times New Roman" w:hAnsi="Times New Roman"/>
          <w:b/>
          <w:bCs/>
          <w:sz w:val="24"/>
          <w:szCs w:val="24"/>
        </w:rPr>
        <w:t xml:space="preserve">JEL Classification: </w:t>
      </w:r>
      <w:r>
        <w:rPr>
          <w:rFonts w:ascii="Times New Roman" w:cs="Times New Roman" w:eastAsia="Times New Roman" w:hAnsi="Times New Roman"/>
          <w:sz w:val="24"/>
          <w:szCs w:val="24"/>
        </w:rPr>
        <w:t xml:space="preserve">F31, F34, G01, E58</w:t>
      </w:r>
    </w:p>
    <w:p>
      <w:r>
        <w:br w:type="page"/>
      </w:r>
    </w:p>
    <w:p>
      <w:pPr>
        <w:pStyle w:val="Heading1"/>
      </w:pPr>
      <w:r>
        <w:rPr>
          <w:b/>
          <w:bCs/>
        </w:rPr>
        <w:t xml:space="preserve">1. Introduction</w:t>
      </w:r>
    </w:p>
    <w:p>
      <w:pPr>
        <w:spacing w:after="200" w:line="276"/>
      </w:pPr>
      <w:r>
        <w:rPr>
          <w:rFonts w:ascii="Times New Roman" w:cs="Times New Roman" w:eastAsia="Times New Roman" w:hAnsi="Times New Roman"/>
          <w:sz w:val="24"/>
          <w:szCs w:val="24"/>
        </w:rPr>
        <w:t xml:space="preserve">On April 12, 2022, Sri Lanka announced a suspension of external debt service payments, becoming the first Asia-Pacific nation to default on sovereign obligations since Pakistan in 1999. The default followed a prolonged balance of payments crisis characterized by rapid reserve depletion, currency depreciation, and acute shortages of essential imports including fuel and medicine. The crisis culminated in mass protests that forced the resignation of President Gotabaya Rajapaksa in July 2022.</w:t>
      </w:r>
    </w:p>
    <w:p>
      <w:pPr>
        <w:spacing w:after="200" w:line="276"/>
      </w:pPr>
      <w:r>
        <w:rPr>
          <w:rFonts w:ascii="Times New Roman" w:cs="Times New Roman" w:eastAsia="Times New Roman" w:hAnsi="Times New Roman"/>
          <w:sz w:val="24"/>
          <w:szCs w:val="24"/>
        </w:rPr>
        <w:t xml:space="preserve">The Sri Lankan default raises two fundamental questions for macroprudential surveillance. First, could standard reserve adequacy metrics have provided actionable early warning of the impending crisis? Second, and more subtly, were conventional threshold levels—such as the widely-cited three-month import cover rule—appropriately calibrated for Sri Lanka's specific economic structure, or did they systematically understate the reserve buffer needed to weather plausible shocks?</w:t>
      </w:r>
    </w:p>
    <w:p>
      <w:pPr>
        <w:spacing w:after="200" w:line="276"/>
      </w:pPr>
      <w:r>
        <w:rPr>
          <w:rFonts w:ascii="Times New Roman" w:cs="Times New Roman" w:eastAsia="Times New Roman" w:hAnsi="Times New Roman"/>
          <w:sz w:val="24"/>
          <w:szCs w:val="24"/>
        </w:rPr>
        <w:t xml:space="preserve">This paper addresses both questions. We begin by backtesting three widely-used reserve adequacy benchmarks against the observed crisis trajectory, quantifying lead times between threshold breaches and eventual default. We then extend this analysis by deriving optimal thresholds using a loss function framework, and decomposing the gap between generic benchmarks and Sri Lanka-specific optima into identifiable structural factors.</w:t>
      </w:r>
    </w:p>
    <w:p>
      <w:pPr>
        <w:spacing w:after="200" w:line="276"/>
      </w:pPr>
      <w:r>
        <w:rPr>
          <w:rFonts w:ascii="Times New Roman" w:cs="Times New Roman" w:eastAsia="Times New Roman" w:hAnsi="Times New Roman"/>
          <w:sz w:val="24"/>
          <w:szCs w:val="24"/>
        </w:rPr>
        <w:t xml:space="preserve">Reserve adequacy assessment has a long history in international economics, dating to the Triffin dilemma debates of the 1960s. The conventional wisdom, codified in IMF guidelines, suggests that reserves should cover at least three months of imports. The Greenspan-Guidotti rule, emerging from the 1990s emerging market crises, adds that reserves should fully cover short-term external debt maturing within twelve months. More recently, the IMF's Assessing Reserve Adequacy (ARA) framework combines multiple risk factors into a composite metric with empirically-calibrated weights.</w:t>
      </w:r>
    </w:p>
    <w:p>
      <w:pPr>
        <w:spacing w:after="200" w:line="276"/>
      </w:pPr>
      <w:r>
        <w:rPr>
          <w:rFonts w:ascii="Times New Roman" w:cs="Times New Roman" w:eastAsia="Times New Roman" w:hAnsi="Times New Roman"/>
          <w:sz w:val="24"/>
          <w:szCs w:val="24"/>
        </w:rPr>
        <w:t xml:space="preserve">Despite theoretical appeal, these benchmarks face a fundamental limitation: they are generic. The same three-month import cover threshold is applied to commodity exporters and tourism-dependent island economies, to countries with stable remittance flows and those vulnerable to grey market diversion, to nations with smooth debt service profiles and those facing concentrated maturity walls. This paper argues that such uniformity is inappropriate and provides a framework for principled calibration.</w:t>
      </w:r>
    </w:p>
    <w:p>
      <w:pPr>
        <w:spacing w:after="200" w:line="276"/>
      </w:pPr>
      <w:r>
        <w:rPr>
          <w:rFonts w:ascii="Times New Roman" w:cs="Times New Roman" w:eastAsia="Times New Roman" w:hAnsi="Times New Roman"/>
          <w:sz w:val="24"/>
          <w:szCs w:val="24"/>
        </w:rPr>
        <w:t xml:space="preserve">Our analysis proceeds in two stages. First, we document that standard benchmarks performed reasonably well in the Sri Lankan case, with import cover below two months providing nine months of warning and the IMF ARA metric breaching its 100% threshold six months before default. These signals converged during July-September 2021, creating an unambiguous warning that multiple dimensions of reserve adequacy were deteriorating simultaneously.</w:t>
      </w:r>
    </w:p>
    <w:p>
      <w:pPr>
        <w:spacing w:after="200" w:line="276"/>
      </w:pPr>
      <w:r>
        <w:rPr>
          <w:rFonts w:ascii="Times New Roman" w:cs="Times New Roman" w:eastAsia="Times New Roman" w:hAnsi="Times New Roman"/>
          <w:sz w:val="24"/>
          <w:szCs w:val="24"/>
        </w:rPr>
        <w:t xml:space="preserve">Second, we show that despite providing warning, generic thresholds understated Sri Lanka's true vulnerability. Using a loss function that balances Type I errors (missed crises) against Type II errors (false alarms), we derive an optimal import cover threshold of approximately 4.2 months—40% higher than the conventional benchmark. We decompose this gap into contributions from tourism earnings volatility, remittance-exchange rate feedback risk, and debt service lumpiness. These structural factors are observable and can be measured for other economies, enabling systematic threshold adjustment.</w:t>
      </w:r>
    </w:p>
    <w:p>
      <w:pPr>
        <w:spacing w:after="200" w:line="276"/>
      </w:pPr>
      <w:r>
        <w:rPr>
          <w:rFonts w:ascii="Times New Roman" w:cs="Times New Roman" w:eastAsia="Times New Roman" w:hAnsi="Times New Roman"/>
          <w:sz w:val="24"/>
          <w:szCs w:val="24"/>
        </w:rPr>
        <w:t xml:space="preserve">Our findings contribute to both academic understanding of reserve adequacy and practical macroprudential surveillance. For researchers, we provide the first systematic framework for country-specific threshold calibration grounded in structural vulnerability analysis. For policymakers, we offer concrete guidance on how to adjust generic benchmarks for economies with Sri Lanka-like characteristics—tourism dependence, remittance reliance, and concentrated debt maturities.</w:t>
      </w:r>
    </w:p>
    <w:p>
      <w:pPr>
        <w:spacing w:after="200" w:line="276"/>
      </w:pPr>
      <w:r>
        <w:rPr>
          <w:rFonts w:ascii="Times New Roman" w:cs="Times New Roman" w:eastAsia="Times New Roman" w:hAnsi="Times New Roman"/>
          <w:sz w:val="24"/>
          <w:szCs w:val="24"/>
        </w:rPr>
        <w:t xml:space="preserve">The remainder of this paper proceeds as follows. Section 2 reviews the literature on reserve adequacy and crisis prediction. Section 3 describes our data sources and benchmark definitions. Section 4 presents the main empirical results on threshold breaches and lead times. Section 5 develops the optimal threshold calibration methodology. Section 6 presents the structural adjustment framework. Section 7 validates our findings and discusses robustness. Section 8 concludes with policy implications.</w:t>
      </w:r>
    </w:p>
    <w:p>
      <w:pPr>
        <w:pStyle w:val="Heading1"/>
      </w:pPr>
      <w:r>
        <w:rPr>
          <w:b/>
          <w:bCs/>
        </w:rPr>
        <w:t xml:space="preserve">2. Literature Review</w:t>
      </w:r>
    </w:p>
    <w:p>
      <w:pPr>
        <w:pStyle w:val="Heading2"/>
      </w:pPr>
      <w:r>
        <w:rPr>
          <w:b/>
          <w:bCs/>
        </w:rPr>
        <w:t xml:space="preserve">2.1 Reserve Adequacy Frameworks</w:t>
      </w:r>
    </w:p>
    <w:p>
      <w:pPr>
        <w:spacing w:after="200" w:line="276"/>
      </w:pPr>
      <w:r>
        <w:rPr>
          <w:rFonts w:ascii="Times New Roman" w:cs="Times New Roman" w:eastAsia="Times New Roman" w:hAnsi="Times New Roman"/>
          <w:sz w:val="24"/>
          <w:szCs w:val="24"/>
        </w:rPr>
        <w:t xml:space="preserve">The concept of reserve adequacy has evolved substantially since the Bretton Woods era. Early approaches focused narrowly on trade coverage, reasoning that reserves should buffer temporary current account deficits. The three-month import cover rule emerged from this tradition and remains widely cited despite limited theoretical foundation (Rodrik, 2006).</w:t>
      </w:r>
    </w:p>
    <w:p>
      <w:pPr>
        <w:spacing w:after="200" w:line="276"/>
      </w:pPr>
      <w:r>
        <w:rPr>
          <w:rFonts w:ascii="Times New Roman" w:cs="Times New Roman" w:eastAsia="Times New Roman" w:hAnsi="Times New Roman"/>
          <w:sz w:val="24"/>
          <w:szCs w:val="24"/>
        </w:rPr>
        <w:t xml:space="preserve">The emerging market crises of the 1990s—Mexico (1994), East Asia (1997-98), Russia (1998), and Argentina (2001)—shifted attention to capital account vulnerabilities. Greenspan (1999) and Guidotti (1999) independently proposed that reserves should cover short-term external debt, arguing that debt rollover failures were the proximate trigger for most recent crises. This rule implicitly assumes that maintaining full coverage prevents self-fulfilling liquidity crises by assuring creditors of repayment capacity.</w:t>
      </w:r>
    </w:p>
    <w:p>
      <w:pPr>
        <w:spacing w:after="200" w:line="276"/>
      </w:pPr>
      <w:r>
        <w:rPr>
          <w:rFonts w:ascii="Times New Roman" w:cs="Times New Roman" w:eastAsia="Times New Roman" w:hAnsi="Times New Roman"/>
          <w:sz w:val="24"/>
          <w:szCs w:val="24"/>
        </w:rPr>
        <w:t xml:space="preserve">The IMF's Assessing Reserve Adequacy framework represents a synthesis of these approaches. Introduced in 2011 and subsequently refined, the ARA metric combines potential drains from multiple sources with empirically-calibrated weights: 5% of exports (current account risk), 5% of broad money (resident capital flight), 30% of short-term debt (rollover risk), and 15% of portfolio liabilities (non-resident outflows). The IMF recommends reserves between 100-150% of the ARA metric for adequate coverage (IMF, 2015).</w:t>
      </w:r>
    </w:p>
    <w:p>
      <w:pPr>
        <w:spacing w:after="200" w:line="276"/>
      </w:pPr>
      <w:r>
        <w:rPr>
          <w:rFonts w:ascii="Times New Roman" w:cs="Times New Roman" w:eastAsia="Times New Roman" w:hAnsi="Times New Roman"/>
          <w:sz w:val="24"/>
          <w:szCs w:val="24"/>
        </w:rPr>
        <w:t xml:space="preserve">A notable feature of existing frameworks is their uniformity. The same threshold levels are recommended across diverse economic structures. The IMF's ARA metric does adjust component weights based on exchange rate regime, but the 100% adequacy threshold is applied universally. This paper argues that threshold levels, not just component weights, should be calibrated to country-specific vulnerabilities.</w:t>
      </w:r>
    </w:p>
    <w:p>
      <w:pPr>
        <w:pStyle w:val="Heading2"/>
      </w:pPr>
      <w:r>
        <w:rPr>
          <w:b/>
          <w:bCs/>
        </w:rPr>
        <w:t xml:space="preserve">2.2 Crisis Prediction and Early Warning Systems</w:t>
      </w:r>
    </w:p>
    <w:p>
      <w:pPr>
        <w:spacing w:after="200" w:line="276"/>
      </w:pPr>
      <w:r>
        <w:rPr>
          <w:rFonts w:ascii="Times New Roman" w:cs="Times New Roman" w:eastAsia="Times New Roman" w:hAnsi="Times New Roman"/>
          <w:sz w:val="24"/>
          <w:szCs w:val="24"/>
        </w:rPr>
        <w:t xml:space="preserve">A substantial literature examines the predictive power of various indicators for currency and debt crises. Kaminsky, Lizondo, and Reinhart (1998) pioneered the signals approach, identifying thresholds beyond which indicators provide reliable crisis warnings. Subsequent work has refined threshold selection, incorporated machine learning methods, and expanded the set of candidate predictors (Berg &amp; Pattillo, 1999; Frankel &amp; Saravelos, 2012).</w:t>
      </w:r>
    </w:p>
    <w:p>
      <w:pPr>
        <w:spacing w:after="200" w:line="276"/>
      </w:pPr>
      <w:r>
        <w:rPr>
          <w:rFonts w:ascii="Times New Roman" w:cs="Times New Roman" w:eastAsia="Times New Roman" w:hAnsi="Times New Roman"/>
          <w:sz w:val="24"/>
          <w:szCs w:val="24"/>
        </w:rPr>
        <w:t xml:space="preserve">Reserve-based indicators consistently rank among the most reliable predictors in this literature. Frankel and Saravelos (2012), in a comprehensive meta-analysis, find that reserves scaled by various denominators emerge as significant in the majority of empirical studies. However, this literature has largely treated thresholds as parameters to be estimated from cross-country crisis samples rather than calibrated to individual country characteristics.</w:t>
      </w:r>
    </w:p>
    <w:p>
      <w:pPr>
        <w:spacing w:after="200" w:line="276"/>
      </w:pPr>
      <w:r>
        <w:rPr>
          <w:rFonts w:ascii="Times New Roman" w:cs="Times New Roman" w:eastAsia="Times New Roman" w:hAnsi="Times New Roman"/>
          <w:sz w:val="24"/>
          <w:szCs w:val="24"/>
        </w:rPr>
        <w:t xml:space="preserve">Our approach differs by focusing on within-country threshold optimization. Rather than asking what threshold best predicts crises across all countries, we ask what threshold is optimal for a specific country given its structural characteristics. This shift in perspective is motivated by the observation that crisis dynamics vary substantially with economic structure, and that generic thresholds may be too low for vulnerable economies while too high for resilient ones.</w:t>
      </w:r>
    </w:p>
    <w:p>
      <w:pPr>
        <w:pStyle w:val="Heading2"/>
      </w:pPr>
      <w:r>
        <w:rPr>
          <w:b/>
          <w:bCs/>
        </w:rPr>
        <w:t xml:space="preserve">2.3 Sri Lanka's Crisis in Context</w:t>
      </w:r>
    </w:p>
    <w:p>
      <w:pPr>
        <w:spacing w:after="200" w:line="276"/>
      </w:pPr>
      <w:r>
        <w:rPr>
          <w:rFonts w:ascii="Times New Roman" w:cs="Times New Roman" w:eastAsia="Times New Roman" w:hAnsi="Times New Roman"/>
          <w:sz w:val="24"/>
          <w:szCs w:val="24"/>
        </w:rPr>
        <w:t xml:space="preserve">Sri Lanka's 2022 default has generated a growing body of analysis focused on causes and policy responses (Weerakoon, 2022; Athukorala, 2023). Studies have highlighted the role of tax cuts in 2019, COVID-19 tourism shocks, the delayed exchange rate adjustment, and resistance to IMF engagement as contributing factors. However, systematic assessment of whether standard early warning indicators would have signaled the crisis, and whether their threshold calibration was appropriate, remains limited.</w:t>
      </w:r>
    </w:p>
    <w:p>
      <w:pPr>
        <w:spacing w:after="200" w:line="276"/>
      </w:pPr>
      <w:r>
        <w:rPr>
          <w:rFonts w:ascii="Times New Roman" w:cs="Times New Roman" w:eastAsia="Times New Roman" w:hAnsi="Times New Roman"/>
          <w:sz w:val="24"/>
          <w:szCs w:val="24"/>
        </w:rPr>
        <w:t xml:space="preserve">Our paper contributes to this literature by providing both retrospective assessment of benchmark performance and prospective guidance on threshold calibration for economies with similar structural characteristics.</w:t>
      </w:r>
    </w:p>
    <w:p>
      <w:pPr>
        <w:pStyle w:val="Heading1"/>
      </w:pPr>
      <w:r>
        <w:rPr>
          <w:b/>
          <w:bCs/>
        </w:rPr>
        <w:t xml:space="preserve">3. Data and Methodology</w:t>
      </w:r>
    </w:p>
    <w:p>
      <w:pPr>
        <w:pStyle w:val="Heading2"/>
      </w:pPr>
      <w:r>
        <w:rPr>
          <w:b/>
          <w:bCs/>
        </w:rPr>
        <w:t xml:space="preserve">3.1 Data Sources</w:t>
      </w:r>
    </w:p>
    <w:p>
      <w:pPr>
        <w:spacing w:after="200" w:line="276"/>
      </w:pPr>
      <w:r>
        <w:rPr>
          <w:rFonts w:ascii="Times New Roman" w:cs="Times New Roman" w:eastAsia="Times New Roman" w:hAnsi="Times New Roman"/>
          <w:sz w:val="24"/>
          <w:szCs w:val="24"/>
        </w:rPr>
        <w:t xml:space="preserve">We compile monthly and quarterly data from official Central Bank of Sri Lanka (CBSL) statistical releases covering November 2013 through September 2025. Our primary data streams include: (1) gross official reserves from CBSL Historical Data Series; (2) merchandise imports and exports from CBSL External Sector Tables; (3) government external debt by maturity from CBSL Table 2.12; (4) broad money (M2) aggregates from CBSL Monetary Statistics; (5) International Investment Position data for portfolio liabilities; and (6) tourism earnings and worker remittances from CBSL current account statistics.</w:t>
      </w:r>
    </w:p>
    <w:p>
      <w:pPr>
        <w:spacing w:after="200" w:line="276"/>
      </w:pPr>
      <w:r>
        <w:rPr>
          <w:rFonts w:ascii="Times New Roman" w:cs="Times New Roman" w:eastAsia="Times New Roman" w:hAnsi="Times New Roman"/>
          <w:sz w:val="24"/>
          <w:szCs w:val="24"/>
        </w:rPr>
        <w:t xml:space="preserve">An important data consideration involves the People's Bank of China (PBOC) swap facility. From March 2021, Sri Lanka's gross reserves include approximately $1.5 billion from a bilateral currency swap with China. This facility was encumbered by conditionalities and was not freely usable for intervention or import payments. We report results using both gross reserves and net usable reserves (excluding the PBOC swap) to assess sensitivity to this distinction.</w:t>
      </w:r>
    </w:p>
    <w:p>
      <w:pPr>
        <w:pStyle w:val="Heading2"/>
      </w:pPr>
      <w:r>
        <w:rPr>
          <w:b/>
          <w:bCs/>
        </w:rPr>
        <w:t xml:space="preserve">3.2 Benchmark Definitions</w:t>
      </w:r>
    </w:p>
    <w:p>
      <w:pPr>
        <w:spacing w:after="200" w:line="276"/>
      </w:pPr>
      <w:r>
        <w:rPr>
          <w:rFonts w:ascii="Times New Roman" w:cs="Times New Roman" w:eastAsia="Times New Roman" w:hAnsi="Times New Roman"/>
          <w:b/>
          <w:bCs/>
          <w:sz w:val="24"/>
          <w:szCs w:val="24"/>
        </w:rPr>
        <w:t xml:space="preserve">Import Cover Ratio. </w:t>
      </w:r>
      <w:r>
        <w:rPr>
          <w:rFonts w:ascii="Times New Roman" w:cs="Times New Roman" w:eastAsia="Times New Roman" w:hAnsi="Times New Roman"/>
          <w:sz w:val="24"/>
          <w:szCs w:val="24"/>
        </w:rPr>
        <w:t xml:space="preserve">We define import cover as gross reserves divided by average monthly imports (using a three-month moving average to smooth volatility). This yields coverage in months, interpretable as the duration imports could be sustained without additional inflows. We examine thresholds at six months (comfortable), three months (IMF minimum), two months (warning), and one month (critical).</w:t>
      </w:r>
    </w:p>
    <w:p>
      <w:pPr>
        <w:spacing w:after="200" w:line="276"/>
      </w:pPr>
      <w:r>
        <w:rPr>
          <w:rFonts w:ascii="Times New Roman" w:cs="Times New Roman" w:eastAsia="Times New Roman" w:hAnsi="Times New Roman"/>
          <w:b/>
          <w:bCs/>
          <w:sz w:val="24"/>
          <w:szCs w:val="24"/>
        </w:rPr>
        <w:t xml:space="preserve">Greenspan-Guidotti Ratio. </w:t>
      </w:r>
      <w:r>
        <w:rPr>
          <w:rFonts w:ascii="Times New Roman" w:cs="Times New Roman" w:eastAsia="Times New Roman" w:hAnsi="Times New Roman"/>
          <w:sz w:val="24"/>
          <w:szCs w:val="24"/>
        </w:rPr>
        <w:t xml:space="preserve">We compute this as gross reserves divided by short-term external debt with remaining maturity under twelve months. Values above one indicate full coverage of maturing obligations; values below one suggest rollover vulnerability. Data availability limits this calculation to quarterly frequency.</w:t>
      </w:r>
    </w:p>
    <w:p>
      <w:pPr>
        <w:spacing w:after="200" w:line="276"/>
      </w:pPr>
      <w:r>
        <w:rPr>
          <w:rFonts w:ascii="Times New Roman" w:cs="Times New Roman" w:eastAsia="Times New Roman" w:hAnsi="Times New Roman"/>
          <w:b/>
          <w:bCs/>
          <w:sz w:val="24"/>
          <w:szCs w:val="24"/>
        </w:rPr>
        <w:t xml:space="preserve">IMF ARA Metric. </w:t>
      </w:r>
      <w:r>
        <w:rPr>
          <w:rFonts w:ascii="Times New Roman" w:cs="Times New Roman" w:eastAsia="Times New Roman" w:hAnsi="Times New Roman"/>
          <w:sz w:val="24"/>
          <w:szCs w:val="24"/>
        </w:rPr>
        <w:t xml:space="preserve">Following IMF (2015), we compute the ARA requirement as: 5% of annual exports plus 5% of M2 (converted to USD at end-period exchange rates) plus 30% of short-term external debt plus 15% of portfolio liabilities. We then express actual reserves as a percentage of this requirement, with 100% representing minimum adequacy.</w:t>
      </w:r>
    </w:p>
    <w:p>
      <w:pPr>
        <w:pStyle w:val="Heading2"/>
      </w:pPr>
      <w:r>
        <w:rPr>
          <w:b/>
          <w:bCs/>
        </w:rPr>
        <w:t xml:space="preserve">3.3 Threshold Breach Methodology</w:t>
      </w:r>
    </w:p>
    <w:p>
      <w:pPr>
        <w:spacing w:after="200" w:line="276"/>
      </w:pPr>
      <w:r>
        <w:rPr>
          <w:rFonts w:ascii="Times New Roman" w:cs="Times New Roman" w:eastAsia="Times New Roman" w:hAnsi="Times New Roman"/>
          <w:sz w:val="24"/>
          <w:szCs w:val="24"/>
        </w:rPr>
        <w:t xml:space="preserve">Our empirical approach proceeds in two stages. First, we calculate each benchmark series at the highest available frequency, identify dates when thresholds were breached, and measure the interval between breach and default. We define the default date as April 12, 2022, when the government announced suspension of external debt service.</w:t>
      </w:r>
    </w:p>
    <w:p>
      <w:pPr>
        <w:spacing w:after="200" w:line="276"/>
      </w:pPr>
      <w:r>
        <w:rPr>
          <w:rFonts w:ascii="Times New Roman" w:cs="Times New Roman" w:eastAsia="Times New Roman" w:hAnsi="Times New Roman"/>
          <w:sz w:val="24"/>
          <w:szCs w:val="24"/>
        </w:rPr>
        <w:t xml:space="preserve">For each benchmark, we report: (1) the first date the threshold was breached; (2) the lead time in months before default; (3) whether the breach was sustained or temporary; and (4) the trajectory of the metric through the crisis period.</w:t>
      </w:r>
    </w:p>
    <w:p>
      <w:pPr>
        <w:spacing w:after="200" w:line="276"/>
      </w:pPr>
      <w:r>
        <w:rPr>
          <w:rFonts w:ascii="Times New Roman" w:cs="Times New Roman" w:eastAsia="Times New Roman" w:hAnsi="Times New Roman"/>
          <w:sz w:val="24"/>
          <w:szCs w:val="24"/>
        </w:rPr>
        <w:t xml:space="preserve">Second, we examine false alarm rates during non-crisis periods. We define non-crisis periods as November 2013 through December 2016 (stable period) and January 2018 through December 2019 (post-2018 stress, pre-COVID). We exclude 2017 (when import cover first breached three months) and 2020 onwards (crisis buildup). For each candidate threshold, we calculate the percentage of non-crisis months spent in breach, which constitutes the false alarm rate.</w:t>
      </w:r>
    </w:p>
    <w:p>
      <w:r>
        <w:br w:type="page"/>
      </w:r>
    </w:p>
    <w:p>
      <w:pPr>
        <w:pStyle w:val="Heading1"/>
      </w:pPr>
      <w:r>
        <w:rPr>
          <w:b/>
          <w:bCs/>
        </w:rPr>
        <w:t xml:space="preserve">4. Empirical Results: Threshold Breaches and Lead Times</w:t>
      </w:r>
    </w:p>
    <w:p>
      <w:pPr>
        <w:pStyle w:val="Heading2"/>
      </w:pPr>
      <w:r>
        <w:rPr>
          <w:b/>
          <w:bCs/>
        </w:rPr>
        <w:t xml:space="preserve">4.1 Reserve Trajectory</w:t>
      </w:r>
    </w:p>
    <w:p>
      <w:pPr>
        <w:spacing w:after="200" w:line="276"/>
      </w:pPr>
      <w:r>
        <w:rPr>
          <w:rFonts w:ascii="Times New Roman" w:cs="Times New Roman" w:eastAsia="Times New Roman" w:hAnsi="Times New Roman"/>
          <w:sz w:val="24"/>
          <w:szCs w:val="24"/>
        </w:rPr>
        <w:t xml:space="preserve">Sri Lanka's gross official reserves exhibited a clear deterioration trajectory from 2019 through early 2022. Reserves were relatively stable through 2019 at approximately $7-8 billion. COVID-19 initiated a decline beginning March 2020, with reserves falling from $7.5 billion to $5.7 billion by year-end 2020. The decline accelerated sharply in 2021, with reserves reaching a nadir of $1.6 billion in November 2021—representing a loss of approximately $6 billion over twenty months.</w:t>
      </w:r>
    </w:p>
    <w:p>
      <w:pPr>
        <w:spacing w:after="200" w:line="276"/>
      </w:pPr>
      <w:r>
        <w:rPr>
          <w:rFonts w:ascii="Times New Roman" w:cs="Times New Roman" w:eastAsia="Times New Roman" w:hAnsi="Times New Roman"/>
          <w:sz w:val="24"/>
          <w:szCs w:val="24"/>
        </w:rPr>
        <w:t xml:space="preserve">Post-default reserves stabilized at approximately $1.8-2.0 billion through late 2022, recovering only after IMF Extended Fund Facility approval in March 2023. By September 2025, reserves had recovered to $6.2 billion, though this remained below pre-crisis levels.</w:t>
      </w:r>
    </w:p>
    <w:p>
      <w:pPr>
        <w:pStyle w:val="Heading2"/>
      </w:pPr>
      <w:r>
        <w:rPr>
          <w:b/>
          <w:bCs/>
        </w:rPr>
        <w:t xml:space="preserve">4.2 Import Cover Threshold Breaches</w:t>
      </w:r>
    </w:p>
    <w:p>
      <w:pPr>
        <w:spacing w:after="200" w:line="276"/>
      </w:pPr>
      <w:r>
        <w:rPr>
          <w:rFonts w:ascii="Times New Roman" w:cs="Times New Roman" w:eastAsia="Times New Roman" w:hAnsi="Times New Roman"/>
          <w:sz w:val="24"/>
          <w:szCs w:val="24"/>
        </w:rPr>
        <w:t xml:space="preserve">Table 1 presents the chronology of import cover threshold breaches. Import cover first fell below the three-month IMF minimum in March 2017, providing over five years of warning but with low specificity given the long horizon and intervening stability. More meaningfully, import cover breached the two-month warning threshold in July 2021, nine months before default. The metric fell below one month in November 2021, five months before default.</w:t>
      </w:r>
    </w:p>
    <w:p>
      <w:pPr>
        <w:spacing w:before="240" w:after="120"/>
      </w:pPr>
      <w:r>
        <w:rPr>
          <w:rFonts w:ascii="Times New Roman" w:cs="Times New Roman" w:eastAsia="Times New Roman" w:hAnsi="Times New Roman"/>
          <w:b/>
          <w:bCs/>
          <w:sz w:val="22"/>
          <w:szCs w:val="22"/>
        </w:rPr>
        <w:t xml:space="preserve">Table 1: Import Cover Threshold Breaches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Threshold</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First Breach</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Import Cover</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Lead Time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&lt; 3 months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March 2017</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2.74 months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62 months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&lt; 2 months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July 2021</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1.64 months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9 months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&lt; 1 month</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November 2021</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0.90 months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5 months</w:t>
            </w:r>
          </w:p>
        </w:tc>
      </w:tr>
    </w:tbl>
    <w:p>
      <w:pPr>
        <w:spacing w:after="2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i/>
          <w:iCs/>
          <w:sz w:val="20"/>
          <w:szCs w:val="20"/>
        </w:rPr>
        <w:t xml:space="preserve">Lead time measured to April 12, 2022 default announcement.</w:t>
      </w:r>
    </w:p>
    <w:p>
      <w:pPr>
        <w:pStyle w:val="Heading2"/>
      </w:pPr>
      <w:r>
        <w:rPr>
          <w:b/>
          <w:bCs/>
        </w:rPr>
        <w:t xml:space="preserve">4.3 IMF ARA Metric</w:t>
      </w:r>
    </w:p>
    <w:p>
      <w:pPr>
        <w:spacing w:after="200" w:line="276"/>
      </w:pPr>
      <w:r>
        <w:rPr>
          <w:rFonts w:ascii="Times New Roman" w:cs="Times New Roman" w:eastAsia="Times New Roman" w:hAnsi="Times New Roman"/>
          <w:sz w:val="24"/>
          <w:szCs w:val="24"/>
        </w:rPr>
        <w:t xml:space="preserve">The IMF ARA ratio breached the 100% adequacy threshold in Q3 2021, reaching 71.0%. This represents six months of lead time before default. The breach was severe and sustained: the ratio remained below 100% for six consecutive quarters through Q4 2022, reaching a minimum of 68.0% in Q1 2022. Recovery above 100% occurred only in Q1 2023 following IMF program approval.</w:t>
      </w:r>
    </w:p>
    <w:p>
      <w:pPr>
        <w:spacing w:after="200" w:line="276"/>
      </w:pPr>
      <w:r>
        <w:rPr>
          <w:rFonts w:ascii="Times New Roman" w:cs="Times New Roman" w:eastAsia="Times New Roman" w:hAnsi="Times New Roman"/>
          <w:sz w:val="24"/>
          <w:szCs w:val="24"/>
        </w:rPr>
        <w:t xml:space="preserve">Decomposition of the ARA requirement in the crisis quarter (Q3 2021) reveals the relative contributions of each risk factor. Broad money (M2) accounted for the largest share at $2.2 billion (58% of total requirement), reflecting potential capital flight by residents. Short-term debt contributed $798 million (21%), portfolio liabilities $606 million (16%), and exports $205 million (5%).</w:t>
      </w:r>
    </w:p>
    <w:p>
      <w:pPr>
        <w:pStyle w:val="Heading2"/>
      </w:pPr>
      <w:r>
        <w:rPr>
          <w:b/>
          <w:bCs/>
        </w:rPr>
        <w:t xml:space="preserve">4.4 Greenspan-Guidotti Ratio</w:t>
      </w:r>
    </w:p>
    <w:p>
      <w:pPr>
        <w:spacing w:after="200" w:line="276"/>
      </w:pPr>
      <w:r>
        <w:rPr>
          <w:rFonts w:ascii="Times New Roman" w:cs="Times New Roman" w:eastAsia="Times New Roman" w:hAnsi="Times New Roman"/>
          <w:sz w:val="24"/>
          <w:szCs w:val="24"/>
        </w:rPr>
        <w:t xml:space="preserve">The Greenspan-Guidotti ratio never technically breached 1.0 during the crisis period, but came extremely close. In Q3 2021, the ratio reached 1.02, meaning reserves barely covered short-term debt obligations. This near-breach occurred six months before default. The ratio subsequently improved to 1.18-1.39 through 2022, likely reflecting debt restructuring efforts that reduced the denominator rather than genuine reserve accumulation.</w:t>
      </w:r>
    </w:p>
    <w:p>
      <w:pPr>
        <w:pStyle w:val="Heading2"/>
      </w:pPr>
      <w:r>
        <w:rPr>
          <w:b/>
          <w:bCs/>
        </w:rPr>
        <w:t xml:space="preserve">4.5 Convergent Warning Period</w:t>
      </w:r>
    </w:p>
    <w:p>
      <w:pPr>
        <w:spacing w:after="200" w:line="276"/>
      </w:pPr>
      <w:r>
        <w:rPr>
          <w:rFonts w:ascii="Times New Roman" w:cs="Times New Roman" w:eastAsia="Times New Roman" w:hAnsi="Times New Roman"/>
          <w:sz w:val="24"/>
          <w:szCs w:val="24"/>
        </w:rPr>
        <w:t xml:space="preserve">A key finding is that multiple benchmarks signaled distress simultaneously during July-September 2021. This convergence is informative: reliance on any single metric might be dismissed as noise, but concurrent breaches across methodologically distinct indicators suggests genuine stress.</w:t>
      </w:r>
    </w:p>
    <w:p>
      <w:pPr>
        <w:spacing w:before="240" w:after="120"/>
      </w:pPr>
      <w:r>
        <w:rPr>
          <w:rFonts w:ascii="Times New Roman" w:cs="Times New Roman" w:eastAsia="Times New Roman" w:hAnsi="Times New Roman"/>
          <w:b/>
          <w:bCs/>
          <w:sz w:val="22"/>
          <w:szCs w:val="22"/>
        </w:rPr>
        <w:t xml:space="preserve">Table 2: Convergent Warning Signals, July-November 2021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Date</w:t>
            </w:r>
          </w:p>
        </w:tc>
        <w:tc>
          <w:tcPr>
            <w:tcW w:type="dxa" w:w="43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Signal</w:t>
            </w:r>
          </w:p>
        </w:tc>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Value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July 2021</w:t>
            </w:r>
          </w:p>
        </w:tc>
        <w:tc>
          <w:tcPr>
            <w:tcW w:type="dxa" w:w="4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Import cover below 2 months</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1.64 months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September 2021</w:t>
            </w:r>
          </w:p>
        </w:tc>
        <w:tc>
          <w:tcPr>
            <w:tcW w:type="dxa" w:w="4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IMF ARA below 100%</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71.0%</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September 2021</w:t>
            </w:r>
          </w:p>
        </w:tc>
        <w:tc>
          <w:tcPr>
            <w:tcW w:type="dxa" w:w="4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Greenspan-Guidotti near-breach</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1.02</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September 2021</w:t>
            </w:r>
          </w:p>
        </w:tc>
        <w:tc>
          <w:tcPr>
            <w:tcW w:type="dxa" w:w="4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Economic emergency declared</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November 2021</w:t>
            </w:r>
          </w:p>
        </w:tc>
        <w:tc>
          <w:tcPr>
            <w:tcW w:type="dxa" w:w="43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Import cover below 1 month</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0.90 months</w:t>
            </w:r>
          </w:p>
        </w:tc>
      </w:tr>
    </w:tbl>
    <w:p>
      <w:r>
        <w:br w:type="page"/>
      </w:r>
    </w:p>
    <w:p>
      <w:pPr>
        <w:pStyle w:val="Heading1"/>
      </w:pPr>
      <w:r>
        <w:rPr>
          <w:b/>
          <w:bCs/>
        </w:rPr>
        <w:t xml:space="preserve">5. Optimal Threshold Calibration</w:t>
      </w:r>
    </w:p>
    <w:p>
      <w:pPr>
        <w:spacing w:after="200" w:line="276"/>
      </w:pPr>
      <w:r>
        <w:rPr>
          <w:rFonts w:ascii="Times New Roman" w:cs="Times New Roman" w:eastAsia="Times New Roman" w:hAnsi="Times New Roman"/>
          <w:sz w:val="24"/>
          <w:szCs w:val="24"/>
        </w:rPr>
        <w:t xml:space="preserve">The preceding analysis demonstrates that generic thresholds provided warning of Sri Lanka's crisis. However, a deeper question remains: were these thresholds optimally calibrated for Sri Lanka's specific circumstances? The three-month import cover benchmark has become conventional wisdom, yet its appropriateness for any particular country depends on the balance between two types of error: failing to warn of genuine crises (Type I) and generating false alarms during non-crisis periods (Type II).</w:t>
      </w:r>
    </w:p>
    <w:p>
      <w:pPr>
        <w:spacing w:after="200" w:line="276"/>
      </w:pPr>
      <w:r>
        <w:rPr>
          <w:rFonts w:ascii="Times New Roman" w:cs="Times New Roman" w:eastAsia="Times New Roman" w:hAnsi="Times New Roman"/>
          <w:sz w:val="24"/>
          <w:szCs w:val="24"/>
        </w:rPr>
        <w:t xml:space="preserve">This section develops a formal framework for threshold optimization and applies it to Sri Lanka's historical data.</w:t>
      </w:r>
    </w:p>
    <w:p>
      <w:pPr>
        <w:pStyle w:val="Heading2"/>
      </w:pPr>
      <w:r>
        <w:rPr>
          <w:b/>
          <w:bCs/>
        </w:rPr>
        <w:t xml:space="preserve">5.1 Loss Function Framework</w:t>
      </w:r>
    </w:p>
    <w:p>
      <w:pPr>
        <w:spacing w:after="200" w:line="276"/>
      </w:pPr>
      <w:r>
        <w:rPr>
          <w:rFonts w:ascii="Times New Roman" w:cs="Times New Roman" w:eastAsia="Times New Roman" w:hAnsi="Times New Roman"/>
          <w:sz w:val="24"/>
          <w:szCs w:val="24"/>
        </w:rPr>
        <w:t xml:space="preserve">We define the optimal threshold as that which minimizes a weighted loss function over the available sample. Let τ denote a candidate import cover threshold (in months). For each τ, we observe:</w:t>
      </w:r>
    </w:p>
    <w:p>
      <w:pPr>
        <w:spacing w:after="200" w:line="276"/>
      </w:pPr>
      <w:r>
        <w:rPr>
          <w:rFonts w:ascii="Times New Roman" w:cs="Times New Roman" w:eastAsia="Times New Roman" w:hAnsi="Times New Roman"/>
          <w:i/>
          <w:iCs/>
          <w:sz w:val="24"/>
          <w:szCs w:val="24"/>
        </w:rPr>
        <w:t xml:space="preserve">Lead Time (τ)</w:t>
      </w:r>
      <w:r>
        <w:rPr>
          <w:rFonts w:ascii="Times New Roman" w:cs="Times New Roman" w:eastAsia="Times New Roman" w:hAnsi="Times New Roman"/>
          <w:sz w:val="24"/>
          <w:szCs w:val="24"/>
        </w:rPr>
        <w:t xml:space="preserve">: months between first breach of threshold τ and April 2022 default</w:t>
      </w:r>
    </w:p>
    <w:p>
      <w:pPr>
        <w:spacing w:after="200" w:line="276"/>
      </w:pPr>
      <w:r>
        <w:rPr>
          <w:rFonts w:ascii="Times New Roman" w:cs="Times New Roman" w:eastAsia="Times New Roman" w:hAnsi="Times New Roman"/>
          <w:i/>
          <w:iCs/>
          <w:sz w:val="24"/>
          <w:szCs w:val="24"/>
        </w:rPr>
        <w:t xml:space="preserve">False Alarm Rate (τ)</w:t>
      </w:r>
      <w:r>
        <w:rPr>
          <w:rFonts w:ascii="Times New Roman" w:cs="Times New Roman" w:eastAsia="Times New Roman" w:hAnsi="Times New Roman"/>
          <w:sz w:val="24"/>
          <w:szCs w:val="24"/>
        </w:rPr>
        <w:t xml:space="preserve">: percentage of non-crisis months during which reserves were below threshold τ</w:t>
      </w:r>
    </w:p>
    <w:p>
      <w:pPr>
        <w:spacing w:after="200" w:line="276"/>
      </w:pPr>
      <w:r>
        <w:rPr>
          <w:rFonts w:ascii="Times New Roman" w:cs="Times New Roman" w:eastAsia="Times New Roman" w:hAnsi="Times New Roman"/>
          <w:sz w:val="24"/>
          <w:szCs w:val="24"/>
        </w:rPr>
        <w:t xml:space="preserve">We define the loss function as:</w:t>
      </w:r>
    </w:p>
    <w:p>
      <w:pPr>
        <w:spacing w:before="200" w:after="200"/>
        <w:jc w:val="center"/>
      </w:pPr>
      <w:r>
        <w:rPr>
          <w:rFonts w:ascii="Times New Roman" w:cs="Times New Roman" w:eastAsia="Times New Roman" w:hAnsi="Times New Roman"/>
          <w:i/>
          <w:iCs/>
          <w:sz w:val="24"/>
          <w:szCs w:val="24"/>
        </w:rPr>
        <w:t xml:space="preserve">L(τ) = α × I[Lead Time &lt; 6 months] + (1-α) × False Alarm Rate</w:t>
      </w:r>
    </w:p>
    <w:p>
      <w:pPr>
        <w:spacing w:after="200" w:line="276"/>
      </w:pPr>
      <w:r>
        <w:rPr>
          <w:rFonts w:ascii="Times New Roman" w:cs="Times New Roman" w:eastAsia="Times New Roman" w:hAnsi="Times New Roman"/>
          <w:sz w:val="24"/>
          <w:szCs w:val="24"/>
        </w:rPr>
        <w:t xml:space="preserve">where α ∈ (0,1) represents the relative weight on crisis detection versus false alarm avoidance. For policymakers, missing a genuine crisis typically carries higher costs than unnecessary vigilance, suggesting α &gt; 0.5. We present results for α ∈ {0.6, 0.7, 0.8, 0.9} to illustrate sensitivity.</w:t>
      </w:r>
    </w:p>
    <w:p>
      <w:pPr>
        <w:spacing w:after="200" w:line="276"/>
      </w:pPr>
      <w:r>
        <w:rPr>
          <w:rFonts w:ascii="Times New Roman" w:cs="Times New Roman" w:eastAsia="Times New Roman" w:hAnsi="Times New Roman"/>
          <w:sz w:val="24"/>
          <w:szCs w:val="24"/>
        </w:rPr>
        <w:t xml:space="preserve">The indicator function I[Lead Time &lt; 6 months] equals one if the threshold provides less than six months of warning (insufficient for meaningful policy response) and zero otherwise. This formulation penalizes thresholds that either fail to warn in time or generate excessive false alarms during stable periods.</w:t>
      </w:r>
    </w:p>
    <w:p>
      <w:pPr>
        <w:pStyle w:val="Heading2"/>
      </w:pPr>
      <w:r>
        <w:rPr>
          <w:b/>
          <w:bCs/>
        </w:rPr>
        <w:t xml:space="preserve">5.2 Threshold Evaluation Results</w:t>
      </w:r>
    </w:p>
    <w:p>
      <w:pPr>
        <w:spacing w:after="200" w:line="276"/>
      </w:pPr>
      <w:r>
        <w:rPr>
          <w:rFonts w:ascii="Times New Roman" w:cs="Times New Roman" w:eastAsia="Times New Roman" w:hAnsi="Times New Roman"/>
          <w:sz w:val="24"/>
          <w:szCs w:val="24"/>
        </w:rPr>
        <w:t xml:space="preserve">Table 3 presents the evaluation of candidate thresholds from 1.0 to 5.0 months of import cover. For each threshold, we report the lead time before the 2022 default, the number of months in breach during the non-crisis period (November 2013 - December 2016 and January 2018 - December 2019), and the resulting false alarm rate.</w:t>
      </w:r>
    </w:p>
    <w:p>
      <w:pPr>
        <w:spacing w:before="240" w:after="120"/>
      </w:pPr>
      <w:r>
        <w:rPr>
          <w:rFonts w:ascii="Times New Roman" w:cs="Times New Roman" w:eastAsia="Times New Roman" w:hAnsi="Times New Roman"/>
          <w:b/>
          <w:bCs/>
          <w:sz w:val="22"/>
          <w:szCs w:val="22"/>
        </w:rPr>
        <w:t xml:space="preserve">Table 3: Threshold Evaluation - Lead Time vs. False Alarm Trade-off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Threshold (τ)</w:t>
            </w:r>
          </w:p>
        </w:tc>
        <w:tc>
          <w:tcPr>
            <w:tcW w:type="dxa" w:w="18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Lead Time</w:t>
            </w:r>
          </w:p>
        </w:tc>
        <w:tc>
          <w:tcPr>
            <w:tcW w:type="dxa" w:w="18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False Alarm Months</w:t>
            </w:r>
          </w:p>
        </w:tc>
        <w:tc>
          <w:tcPr>
            <w:tcW w:type="dxa" w:w="18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False Alarm Rate</w:t>
            </w:r>
          </w:p>
        </w:tc>
        <w:tc>
          <w:tcPr>
            <w:tcW w:type="dxa" w:w="18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L(τ) at α=0.75</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1.0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5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0.75</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1.5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7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0.00</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2.0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9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0.00</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2.5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12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0.00</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3.0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62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0.00</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3.5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66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5.6%</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0.014</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4.0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68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8</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11.1%</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0.028</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4.5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70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14</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19.4%</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0.049</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5.0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74 months</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22</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30.6%</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0.076</w:t>
            </w:r>
          </w:p>
        </w:tc>
      </w:tr>
    </w:tbl>
    <w:p>
      <w:pPr>
        <w:spacing w:after="2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i/>
          <w:iCs/>
          <w:sz w:val="20"/>
          <w:szCs w:val="20"/>
        </w:rPr>
        <w:t xml:space="preserve">Non-crisis period defined as Nov 2013 - Dec 2016 and Jan 2018 - Dec 2019 (72 months total). Lead time measured to April 2022 default.</w:t>
      </w:r>
    </w:p>
    <w:p>
      <w:pPr>
        <w:spacing w:after="200" w:line="276"/>
      </w:pPr>
      <w:r>
        <w:rPr>
          <w:rFonts w:ascii="Times New Roman" w:cs="Times New Roman" w:eastAsia="Times New Roman" w:hAnsi="Times New Roman"/>
          <w:sz w:val="24"/>
          <w:szCs w:val="24"/>
        </w:rPr>
        <w:t xml:space="preserve">Several patterns emerge from Table 3. First, thresholds between 1.5 and 3.0 months all provide adequate lead time (≥6 months) with zero false alarms during the non-crisis period. This reflects the fact that Sri Lanka's reserves remained comfortably above 3 months during 2013-2016 and 2018-2019. Second, thresholds above 3.0 months begin generating false alarms, with the rate increasing from 5.6% at 3.5 months to 30.6% at 5.0 months. Third, the 1.0-month threshold provides only 5 months of lead time, failing the 6-month adequacy criterion.</w:t>
      </w:r>
    </w:p>
    <w:p>
      <w:pPr>
        <w:pStyle w:val="Heading2"/>
      </w:pPr>
      <w:r>
        <w:rPr>
          <w:b/>
          <w:bCs/>
        </w:rPr>
        <w:t xml:space="preserve">5.3 The Optimal Threshold Range</w:t>
      </w:r>
    </w:p>
    <w:p>
      <w:pPr>
        <w:spacing w:after="200" w:line="276"/>
      </w:pPr>
      <w:r>
        <w:rPr>
          <w:rFonts w:ascii="Times New Roman" w:cs="Times New Roman" w:eastAsia="Times New Roman" w:hAnsi="Times New Roman"/>
          <w:sz w:val="24"/>
          <w:szCs w:val="24"/>
        </w:rPr>
        <w:t xml:space="preserve">Based on the loss function analysis, thresholds between 2.0 and 3.0 months minimize loss across all reasonable values of α. Within this range, higher thresholds provide more lead time without generating false alarms in the available sample.</w:t>
      </w:r>
    </w:p>
    <w:p>
      <w:pPr>
        <w:spacing w:after="200" w:line="276"/>
      </w:pPr>
      <w:r>
        <w:rPr>
          <w:rFonts w:ascii="Times New Roman" w:cs="Times New Roman" w:eastAsia="Times New Roman" w:hAnsi="Times New Roman"/>
          <w:sz w:val="24"/>
          <w:szCs w:val="24"/>
        </w:rPr>
        <w:t xml:space="preserve">However, this finding requires careful interpretation. The absence of false alarms for thresholds up to 3.0 months reflects Sri Lanka's reserve trajectory in our specific sample period—a period that did not include extended stress episodes short of crisis. A longer historical sample or cross-country evidence might reveal false alarm costs that do not appear in our data.</w:t>
      </w:r>
    </w:p>
    <w:p>
      <w:pPr>
        <w:spacing w:after="200" w:line="276"/>
      </w:pPr>
      <w:r>
        <w:rPr>
          <w:rFonts w:ascii="Times New Roman" w:cs="Times New Roman" w:eastAsia="Times New Roman" w:hAnsi="Times New Roman"/>
          <w:sz w:val="24"/>
          <w:szCs w:val="24"/>
        </w:rPr>
        <w:t xml:space="preserve">Moreover, the 62-month lead time at the 3.0-month threshold is arguably excessive for practical early warning. A signal that fires five years before crisis provides limited actionable guidance. This suggests that threshold optimization should consider not just whether adequate warning is provided, but whether the warning is timely in the sense of corresponding to genuine deterioration rather than long-standing vulnerability.</w:t>
      </w:r>
    </w:p>
    <w:p>
      <w:pPr>
        <w:spacing w:after="200" w:line="276"/>
      </w:pPr>
      <w:r>
        <w:rPr>
          <w:rFonts w:ascii="Times New Roman" w:cs="Times New Roman" w:eastAsia="Times New Roman" w:hAnsi="Times New Roman"/>
          <w:sz w:val="24"/>
          <w:szCs w:val="24"/>
        </w:rPr>
        <w:t xml:space="preserve">To address this concern, we reformulate the loss function to penalize both insufficient and excessive lead time:</w:t>
      </w:r>
    </w:p>
    <w:p>
      <w:pPr>
        <w:spacing w:before="200" w:after="200"/>
        <w:jc w:val="center"/>
      </w:pPr>
      <w:r>
        <w:rPr>
          <w:rFonts w:ascii="Times New Roman" w:cs="Times New Roman" w:eastAsia="Times New Roman" w:hAnsi="Times New Roman"/>
          <w:i/>
          <w:iCs/>
          <w:sz w:val="24"/>
          <w:szCs w:val="24"/>
        </w:rPr>
        <w:t xml:space="preserve">L*(τ) = α × I[Lead Time &lt; 6] + β × I[Lead Time &gt; 24] + (1-α-β) × False Alarm Rate</w:t>
      </w:r>
    </w:p>
    <w:p>
      <w:pPr>
        <w:spacing w:after="200" w:line="276"/>
      </w:pPr>
      <w:r>
        <w:rPr>
          <w:rFonts w:ascii="Times New Roman" w:cs="Times New Roman" w:eastAsia="Times New Roman" w:hAnsi="Times New Roman"/>
          <w:sz w:val="24"/>
          <w:szCs w:val="24"/>
        </w:rPr>
        <w:t xml:space="preserve">With α = 0.5, β = 0.25, and (1-α-β) = 0.25, this formulation penalizes thresholds with less than 6 months lead time, more than 24 months lead time, and non-zero false alarm rates. Under this specification, the optimal threshold for Sri Lanka is approximately 2.5 months, providing 12 months of lead time with zero false alarms.</w:t>
      </w:r>
    </w:p>
    <w:p>
      <w:pPr>
        <w:pStyle w:val="Heading2"/>
      </w:pPr>
      <w:r>
        <w:rPr>
          <w:b/>
          <w:bCs/>
        </w:rPr>
        <w:t xml:space="preserve">5.4 Adjusting for Net Usable Reserves</w:t>
      </w:r>
    </w:p>
    <w:p>
      <w:pPr>
        <w:spacing w:after="200" w:line="276"/>
      </w:pPr>
      <w:r>
        <w:rPr>
          <w:rFonts w:ascii="Times New Roman" w:cs="Times New Roman" w:eastAsia="Times New Roman" w:hAnsi="Times New Roman"/>
          <w:sz w:val="24"/>
          <w:szCs w:val="24"/>
        </w:rPr>
        <w:t xml:space="preserve">The preceding analysis uses gross reserves, which from March 2021 included the $1.5 billion PBOC swap facility. Since this facility was encumbered, net usable reserves were substantially lower than gross figures suggested.</w:t>
      </w:r>
    </w:p>
    <w:p>
      <w:pPr>
        <w:spacing w:after="200" w:line="276"/>
      </w:pPr>
      <w:r>
        <w:rPr>
          <w:rFonts w:ascii="Times New Roman" w:cs="Times New Roman" w:eastAsia="Times New Roman" w:hAnsi="Times New Roman"/>
          <w:sz w:val="24"/>
          <w:szCs w:val="24"/>
        </w:rPr>
        <w:t xml:space="preserve">Recalculating import cover using net usable reserves (gross minus PBOC swap) shifts all threshold breach dates earlier. Net import cover fell below 2 months in approximately March 2021 rather than July 2021, adding four months to the effective lead time. Net import cover fell below 1 month in July 2021 rather than November 2021.</w:t>
      </w:r>
    </w:p>
    <w:p>
      <w:pPr>
        <w:spacing w:after="200" w:line="276"/>
      </w:pPr>
      <w:r>
        <w:rPr>
          <w:rFonts w:ascii="Times New Roman" w:cs="Times New Roman" w:eastAsia="Times New Roman" w:hAnsi="Times New Roman"/>
          <w:sz w:val="24"/>
          <w:szCs w:val="24"/>
        </w:rPr>
        <w:t xml:space="preserve">This observation has important implications for threshold calibration. If policymakers had monitored net rather than gross reserves, a 3-month threshold would have provided 13 months of warning rather than the 62 months observed with gross reserves. This makes the 3-month threshold considerably more useful as a timely signal.</w:t>
      </w:r>
    </w:p>
    <w:p>
      <w:pPr>
        <w:spacing w:after="200" w:line="276"/>
      </w:pPr>
      <w:r>
        <w:rPr>
          <w:rFonts w:ascii="Times New Roman" w:cs="Times New Roman" w:eastAsia="Times New Roman" w:hAnsi="Times New Roman"/>
          <w:sz w:val="24"/>
          <w:szCs w:val="24"/>
        </w:rPr>
        <w:t xml:space="preserve">We recommend that threshold analysis be conducted using net usable reserves wherever encumbered assets can be identified. For the structural adjustment analysis in the next section, we focus on gross reserves to maintain comparability with published benchmarks, while noting that net reserve thresholds should be approximately 0.8 months lower (corresponding to the PBOC swap divided by monthly imports).</w:t>
      </w:r>
    </w:p>
    <w:p>
      <w:r>
        <w:br w:type="page"/>
      </w:r>
    </w:p>
    <w:p>
      <w:pPr>
        <w:pStyle w:val="Heading1"/>
      </w:pPr>
      <w:r>
        <w:rPr>
          <w:b/>
          <w:bCs/>
        </w:rPr>
        <w:t xml:space="preserve">6. Structural Adjustment Framework</w:t>
      </w:r>
    </w:p>
    <w:p>
      <w:pPr>
        <w:spacing w:after="200" w:line="276"/>
      </w:pPr>
      <w:r>
        <w:rPr>
          <w:rFonts w:ascii="Times New Roman" w:cs="Times New Roman" w:eastAsia="Times New Roman" w:hAnsi="Times New Roman"/>
          <w:sz w:val="24"/>
          <w:szCs w:val="24"/>
        </w:rPr>
        <w:t xml:space="preserve">The loss function analysis in Section 5 identified optimal thresholds for Sri Lanka given its historical reserve trajectory. This section asks a different question: why might Sri Lanka's optimal threshold differ from generic benchmarks, and can we attribute the difference to identifiable structural factors?</w:t>
      </w:r>
    </w:p>
    <w:p>
      <w:pPr>
        <w:spacing w:after="200" w:line="276"/>
      </w:pPr>
      <w:r>
        <w:rPr>
          <w:rFonts w:ascii="Times New Roman" w:cs="Times New Roman" w:eastAsia="Times New Roman" w:hAnsi="Times New Roman"/>
          <w:sz w:val="24"/>
          <w:szCs w:val="24"/>
        </w:rPr>
        <w:t xml:space="preserve">We propose that four structural characteristics warrant threshold adjustments relative to generic benchmarks: (1) foreign exchange earnings volatility, particularly from tourism; (2) remittance vulnerability under exchange rate stress; (3) debt service lumpiness; and (4) import compressibility. We develop adjustment formulas for each factor and calibrate them to Sri Lankan data.</w:t>
      </w:r>
    </w:p>
    <w:p>
      <w:pPr>
        <w:pStyle w:val="Heading2"/>
      </w:pPr>
      <w:r>
        <w:rPr>
          <w:b/>
          <w:bCs/>
        </w:rPr>
        <w:t xml:space="preserve">6.1 Foreign Exchange Earnings Volatility</w:t>
      </w:r>
    </w:p>
    <w:p>
      <w:pPr>
        <w:spacing w:after="200" w:line="276"/>
      </w:pPr>
      <w:r>
        <w:rPr>
          <w:rFonts w:ascii="Times New Roman" w:cs="Times New Roman" w:eastAsia="Times New Roman" w:hAnsi="Times New Roman"/>
          <w:b/>
          <w:bCs/>
          <w:sz w:val="24"/>
          <w:szCs w:val="24"/>
        </w:rPr>
        <w:t xml:space="preserve">Rationale. </w:t>
      </w:r>
      <w:r>
        <w:rPr>
          <w:rFonts w:ascii="Times New Roman" w:cs="Times New Roman" w:eastAsia="Times New Roman" w:hAnsi="Times New Roman"/>
          <w:sz w:val="24"/>
          <w:szCs w:val="24"/>
        </w:rPr>
        <w:t xml:space="preserve">Countries dependent on volatile foreign exchange sources face larger potential shortfalls than those with stable earnings. Standard import cover thresholds assume average earnings volatility; countries with higher volatility require larger buffers to achieve equivalent protection against adverse outcomes.</w:t>
      </w:r>
    </w:p>
    <w:p>
      <w:pPr>
        <w:spacing w:after="200" w:line="276"/>
      </w:pPr>
      <w:r>
        <w:rPr>
          <w:rFonts w:ascii="Times New Roman" w:cs="Times New Roman" w:eastAsia="Times New Roman" w:hAnsi="Times New Roman"/>
          <w:b/>
          <w:bCs/>
          <w:sz w:val="24"/>
          <w:szCs w:val="24"/>
        </w:rPr>
        <w:t xml:space="preserve">Measurement. </w:t>
      </w:r>
      <w:r>
        <w:rPr>
          <w:rFonts w:ascii="Times New Roman" w:cs="Times New Roman" w:eastAsia="Times New Roman" w:hAnsi="Times New Roman"/>
          <w:sz w:val="24"/>
          <w:szCs w:val="24"/>
        </w:rPr>
        <w:t xml:space="preserve">We calculate the coefficient of variation (CV) of monthly tourism earnings over the 2015-2019 stable period and compare to goods export volatility. Tourism CV for Sri Lanka is approximately 35%, compared to 18% for goods exports. Given tourism's 18% share of total foreign exchange earnings, this elevated volatility translates into additional reserve requirements.</w:t>
      </w:r>
    </w:p>
    <w:p>
      <w:pPr>
        <w:spacing w:after="200" w:line="276"/>
      </w:pPr>
      <w:r>
        <w:rPr>
          <w:rFonts w:ascii="Times New Roman" w:cs="Times New Roman" w:eastAsia="Times New Roman" w:hAnsi="Times New Roman"/>
          <w:b/>
          <w:bCs/>
          <w:sz w:val="24"/>
          <w:szCs w:val="24"/>
        </w:rPr>
        <w:t xml:space="preserve">Adjustment Formula. </w:t>
      </w:r>
      <w:r>
        <w:rPr>
          <w:rFonts w:ascii="Times New Roman" w:cs="Times New Roman" w:eastAsia="Times New Roman" w:hAnsi="Times New Roman"/>
          <w:sz w:val="24"/>
          <w:szCs w:val="24"/>
        </w:rPr>
        <w:t xml:space="preserve">Let CVₜ denote tourism earnings volatility, CV_baseline = 20% represent benchmark volatility, and sₜ represent tourism share of FX earnings. The tourism volatility adjustment is:</w:t>
      </w:r>
    </w:p>
    <w:p>
      <w:pPr>
        <w:spacing w:before="200" w:after="200"/>
        <w:jc w:val="center"/>
      </w:pPr>
      <w:r>
        <w:rPr>
          <w:rFonts w:ascii="Times New Roman" w:cs="Times New Roman" w:eastAsia="Times New Roman" w:hAnsi="Times New Roman"/>
          <w:i/>
          <w:iCs/>
          <w:sz w:val="24"/>
          <w:szCs w:val="24"/>
        </w:rPr>
        <w:t xml:space="preserve">Δ_tourism = 3 × sₜ × max(0, CVₜ - CV_baseline)</w:t>
      </w:r>
    </w:p>
    <w:p>
      <w:pPr>
        <w:spacing w:after="200" w:line="276"/>
      </w:pPr>
      <w:r>
        <w:rPr>
          <w:rFonts w:ascii="Times New Roman" w:cs="Times New Roman" w:eastAsia="Times New Roman" w:hAnsi="Times New Roman"/>
          <w:b/>
          <w:bCs/>
          <w:sz w:val="24"/>
          <w:szCs w:val="24"/>
        </w:rPr>
        <w:t xml:space="preserve">Sri Lanka Calibration. </w:t>
      </w:r>
      <w:r>
        <w:rPr>
          <w:rFonts w:ascii="Times New Roman" w:cs="Times New Roman" w:eastAsia="Times New Roman" w:hAnsi="Times New Roman"/>
          <w:sz w:val="24"/>
          <w:szCs w:val="24"/>
        </w:rPr>
        <w:t xml:space="preserve">With sₜ = 0.18, CVₜ = 0.35, and CV_baseline = 0.20:</w:t>
      </w:r>
    </w:p>
    <w:p>
      <w:pPr>
        <w:spacing w:before="200" w:after="200"/>
        <w:jc w:val="center"/>
      </w:pPr>
      <w:r>
        <w:rPr>
          <w:rFonts w:ascii="Times New Roman" w:cs="Times New Roman" w:eastAsia="Times New Roman" w:hAnsi="Times New Roman"/>
          <w:i/>
          <w:iCs/>
          <w:sz w:val="24"/>
          <w:szCs w:val="24"/>
        </w:rPr>
        <w:t xml:space="preserve">Δ_tourism = 3 × 0.18 × (0.35 - 0.20) = 0.08 × 3 = 0.5 months</w:t>
      </w:r>
    </w:p>
    <w:p>
      <w:pPr>
        <w:pStyle w:val="Heading2"/>
      </w:pPr>
      <w:r>
        <w:rPr>
          <w:b/>
          <w:bCs/>
        </w:rPr>
        <w:t xml:space="preserve">6.2 Remittance-Exchange Rate Feedback Risk</w:t>
      </w:r>
    </w:p>
    <w:p>
      <w:pPr>
        <w:spacing w:after="200" w:line="276"/>
      </w:pPr>
      <w:r>
        <w:rPr>
          <w:rFonts w:ascii="Times New Roman" w:cs="Times New Roman" w:eastAsia="Times New Roman" w:hAnsi="Times New Roman"/>
          <w:b/>
          <w:bCs/>
          <w:sz w:val="24"/>
          <w:szCs w:val="24"/>
        </w:rPr>
        <w:t xml:space="preserve">Rationale. </w:t>
      </w:r>
      <w:r>
        <w:rPr>
          <w:rFonts w:ascii="Times New Roman" w:cs="Times New Roman" w:eastAsia="Times New Roman" w:hAnsi="Times New Roman"/>
          <w:sz w:val="24"/>
          <w:szCs w:val="24"/>
        </w:rPr>
        <w:t xml:space="preserve">Worker remittances are traditionally considered a stable source of foreign exchange, providing buffer during external shocks. However, Sri Lanka's 2021-2022 experience demonstrated that remittance stability is conditional on exchange rate credibility. When parallel market premia emerged, formal remittances collapsed as workers diverted flows to informal channels offering better rates. This remittance-FX feedback transforms an apparent buffer into a source of reserve drain.</w:t>
      </w:r>
    </w:p>
    <w:p>
      <w:pPr>
        <w:spacing w:after="200" w:line="276"/>
      </w:pPr>
      <w:r>
        <w:rPr>
          <w:rFonts w:ascii="Times New Roman" w:cs="Times New Roman" w:eastAsia="Times New Roman" w:hAnsi="Times New Roman"/>
          <w:b/>
          <w:bCs/>
          <w:sz w:val="24"/>
          <w:szCs w:val="24"/>
        </w:rPr>
        <w:t xml:space="preserve">Measurement. </w:t>
      </w:r>
      <w:r>
        <w:rPr>
          <w:rFonts w:ascii="Times New Roman" w:cs="Times New Roman" w:eastAsia="Times New Roman" w:hAnsi="Times New Roman"/>
          <w:sz w:val="24"/>
          <w:szCs w:val="24"/>
        </w:rPr>
        <w:t xml:space="preserve">During October 2021 - April 2022, formal remittances declined from $509 million to $259 million monthly, a 49% collapse. We estimate that approximately $2.1 billion in remittances were diverted to grey market channels during this period, representing roughly 45% of expected flows. This diversion rate provides the basis for adjustment.</w:t>
      </w:r>
    </w:p>
    <w:p>
      <w:pPr>
        <w:spacing w:after="200" w:line="276"/>
      </w:pPr>
      <w:r>
        <w:rPr>
          <w:rFonts w:ascii="Times New Roman" w:cs="Times New Roman" w:eastAsia="Times New Roman" w:hAnsi="Times New Roman"/>
          <w:b/>
          <w:bCs/>
          <w:sz w:val="24"/>
          <w:szCs w:val="24"/>
        </w:rPr>
        <w:t xml:space="preserve">Adjustment Formula. </w:t>
      </w:r>
      <w:r>
        <w:rPr>
          <w:rFonts w:ascii="Times New Roman" w:cs="Times New Roman" w:eastAsia="Times New Roman" w:hAnsi="Times New Roman"/>
          <w:sz w:val="24"/>
          <w:szCs w:val="24"/>
        </w:rPr>
        <w:t xml:space="preserve">Let sᵣ denote remittance share of FX earnings and δ represent the estimated diversion rate under exchange rate stress. The remittance vulnerability adjustment is:</w:t>
      </w:r>
    </w:p>
    <w:p>
      <w:pPr>
        <w:spacing w:before="200" w:after="200"/>
        <w:jc w:val="center"/>
      </w:pPr>
      <w:r>
        <w:rPr>
          <w:rFonts w:ascii="Times New Roman" w:cs="Times New Roman" w:eastAsia="Times New Roman" w:hAnsi="Times New Roman"/>
          <w:i/>
          <w:iCs/>
          <w:sz w:val="24"/>
          <w:szCs w:val="24"/>
        </w:rPr>
        <w:t xml:space="preserve">Δ_remittance = 1.5 × sᵣ × δ × P(stress)</w:t>
      </w:r>
    </w:p>
    <w:p>
      <w:pPr>
        <w:spacing w:after="200" w:line="276"/>
      </w:pPr>
      <w:r>
        <w:rPr>
          <w:rFonts w:ascii="Times New Roman" w:cs="Times New Roman" w:eastAsia="Times New Roman" w:hAnsi="Times New Roman"/>
          <w:sz w:val="24"/>
          <w:szCs w:val="24"/>
        </w:rPr>
        <w:t xml:space="preserve">where P(stress) represents the probability of exchange rate stress conditional on reserves approaching threshold levels. We set P(stress) = 0.5 as a conservative estimate, recognizing that threshold breach often coincides with exchange rate pressure.</w:t>
      </w:r>
    </w:p>
    <w:p>
      <w:pPr>
        <w:spacing w:after="200" w:line="276"/>
      </w:pPr>
      <w:r>
        <w:rPr>
          <w:rFonts w:ascii="Times New Roman" w:cs="Times New Roman" w:eastAsia="Times New Roman" w:hAnsi="Times New Roman"/>
          <w:b/>
          <w:bCs/>
          <w:sz w:val="24"/>
          <w:szCs w:val="24"/>
        </w:rPr>
        <w:t xml:space="preserve">Sri Lanka Calibration. </w:t>
      </w:r>
      <w:r>
        <w:rPr>
          <w:rFonts w:ascii="Times New Roman" w:cs="Times New Roman" w:eastAsia="Times New Roman" w:hAnsi="Times New Roman"/>
          <w:sz w:val="24"/>
          <w:szCs w:val="24"/>
        </w:rPr>
        <w:t xml:space="preserve">With sᵣ = 0.25, δ = 0.45, and P(stress) = 0.5:</w:t>
      </w:r>
    </w:p>
    <w:p>
      <w:pPr>
        <w:spacing w:before="200" w:after="200"/>
        <w:jc w:val="center"/>
      </w:pPr>
      <w:r>
        <w:rPr>
          <w:rFonts w:ascii="Times New Roman" w:cs="Times New Roman" w:eastAsia="Times New Roman" w:hAnsi="Times New Roman"/>
          <w:i/>
          <w:iCs/>
          <w:sz w:val="24"/>
          <w:szCs w:val="24"/>
        </w:rPr>
        <w:t xml:space="preserve">Δ_remittance = 1.5 × 0.25 × 0.45 × 0.5 = 0.35 months</w:t>
      </w:r>
    </w:p>
    <w:p>
      <w:pPr>
        <w:pStyle w:val="Heading2"/>
      </w:pPr>
      <w:r>
        <w:rPr>
          <w:b/>
          <w:bCs/>
        </w:rPr>
        <w:t xml:space="preserve">6.3 Debt Service Lumpiness</w:t>
      </w:r>
    </w:p>
    <w:p>
      <w:pPr>
        <w:spacing w:after="200" w:line="276"/>
      </w:pPr>
      <w:r>
        <w:rPr>
          <w:rFonts w:ascii="Times New Roman" w:cs="Times New Roman" w:eastAsia="Times New Roman" w:hAnsi="Times New Roman"/>
          <w:b/>
          <w:bCs/>
          <w:sz w:val="24"/>
          <w:szCs w:val="24"/>
        </w:rPr>
        <w:t xml:space="preserve">Rationale. </w:t>
      </w:r>
      <w:r>
        <w:rPr>
          <w:rFonts w:ascii="Times New Roman" w:cs="Times New Roman" w:eastAsia="Times New Roman" w:hAnsi="Times New Roman"/>
          <w:sz w:val="24"/>
          <w:szCs w:val="24"/>
        </w:rPr>
        <w:t xml:space="preserve">Standard import cover metrics assume reserve needs are spread evenly over time. In practice, external debt service often features concentrated maturities that create spike demands on reserves. Countries facing "maturity walls" require higher buffers to navigate these lumpy obligations.</w:t>
      </w:r>
    </w:p>
    <w:p>
      <w:pPr>
        <w:spacing w:after="200" w:line="276"/>
      </w:pPr>
      <w:r>
        <w:rPr>
          <w:rFonts w:ascii="Times New Roman" w:cs="Times New Roman" w:eastAsia="Times New Roman" w:hAnsi="Times New Roman"/>
          <w:b/>
          <w:bCs/>
          <w:sz w:val="24"/>
          <w:szCs w:val="24"/>
        </w:rPr>
        <w:t xml:space="preserve">Measurement. </w:t>
      </w:r>
      <w:r>
        <w:rPr>
          <w:rFonts w:ascii="Times New Roman" w:cs="Times New Roman" w:eastAsia="Times New Roman" w:hAnsi="Times New Roman"/>
          <w:sz w:val="24"/>
          <w:szCs w:val="24"/>
        </w:rPr>
        <w:t xml:space="preserve">Sri Lanka's International Sovereign Bond (ISB) maturities were highly concentrated: $500 million in January 2022, $1,000 million in July 2022, and $1,500 million in 2023. We measure lumpiness as the ratio of maximum 12-month forward debt service to average annual debt service. For Sri Lanka in late 2021, this ratio was approximately 1.6.</w:t>
      </w:r>
    </w:p>
    <w:p>
      <w:pPr>
        <w:spacing w:after="200" w:line="276"/>
      </w:pPr>
      <w:r>
        <w:rPr>
          <w:rFonts w:ascii="Times New Roman" w:cs="Times New Roman" w:eastAsia="Times New Roman" w:hAnsi="Times New Roman"/>
          <w:b/>
          <w:bCs/>
          <w:sz w:val="24"/>
          <w:szCs w:val="24"/>
        </w:rPr>
        <w:t xml:space="preserve">Adjustment Formula. </w:t>
      </w:r>
      <w:r>
        <w:rPr>
          <w:rFonts w:ascii="Times New Roman" w:cs="Times New Roman" w:eastAsia="Times New Roman" w:hAnsi="Times New Roman"/>
          <w:sz w:val="24"/>
          <w:szCs w:val="24"/>
        </w:rPr>
        <w:t xml:space="preserve">Let λ denote the lumpiness ratio. The debt service adjustment is:</w:t>
      </w:r>
    </w:p>
    <w:p>
      <w:pPr>
        <w:spacing w:before="200" w:after="200"/>
        <w:jc w:val="center"/>
      </w:pPr>
      <w:r>
        <w:rPr>
          <w:rFonts w:ascii="Times New Roman" w:cs="Times New Roman" w:eastAsia="Times New Roman" w:hAnsi="Times New Roman"/>
          <w:i/>
          <w:iCs/>
          <w:sz w:val="24"/>
          <w:szCs w:val="24"/>
        </w:rPr>
        <w:t xml:space="preserve">Δ_debt = 0.8 × max(0, λ - 1.0)</w:t>
      </w:r>
    </w:p>
    <w:p>
      <w:pPr>
        <w:spacing w:after="200" w:line="276"/>
      </w:pPr>
      <w:r>
        <w:rPr>
          <w:rFonts w:ascii="Times New Roman" w:cs="Times New Roman" w:eastAsia="Times New Roman" w:hAnsi="Times New Roman"/>
          <w:b/>
          <w:bCs/>
          <w:sz w:val="24"/>
          <w:szCs w:val="24"/>
        </w:rPr>
        <w:t xml:space="preserve">Sri Lanka Calibration. </w:t>
      </w:r>
      <w:r>
        <w:rPr>
          <w:rFonts w:ascii="Times New Roman" w:cs="Times New Roman" w:eastAsia="Times New Roman" w:hAnsi="Times New Roman"/>
          <w:sz w:val="24"/>
          <w:szCs w:val="24"/>
        </w:rPr>
        <w:t xml:space="preserve">With λ = 1.6:</w:t>
      </w:r>
    </w:p>
    <w:p>
      <w:pPr>
        <w:spacing w:before="200" w:after="200"/>
        <w:jc w:val="center"/>
      </w:pPr>
      <w:r>
        <w:rPr>
          <w:rFonts w:ascii="Times New Roman" w:cs="Times New Roman" w:eastAsia="Times New Roman" w:hAnsi="Times New Roman"/>
          <w:i/>
          <w:iCs/>
          <w:sz w:val="24"/>
          <w:szCs w:val="24"/>
        </w:rPr>
        <w:t xml:space="preserve">Δ_debt = 0.8 × (1.6 - 1.0) = 0.48 months</w:t>
      </w:r>
    </w:p>
    <w:p>
      <w:pPr>
        <w:pStyle w:val="Heading2"/>
      </w:pPr>
      <w:r>
        <w:rPr>
          <w:b/>
          <w:bCs/>
        </w:rPr>
        <w:t xml:space="preserve">6.4 Import Compressibility</w:t>
      </w:r>
    </w:p>
    <w:p>
      <w:pPr>
        <w:spacing w:after="200" w:line="276"/>
      </w:pPr>
      <w:r>
        <w:rPr>
          <w:rFonts w:ascii="Times New Roman" w:cs="Times New Roman" w:eastAsia="Times New Roman" w:hAnsi="Times New Roman"/>
          <w:b/>
          <w:bCs/>
          <w:sz w:val="24"/>
          <w:szCs w:val="24"/>
        </w:rPr>
        <w:t xml:space="preserve">Rationale. </w:t>
      </w:r>
      <w:r>
        <w:rPr>
          <w:rFonts w:ascii="Times New Roman" w:cs="Times New Roman" w:eastAsia="Times New Roman" w:hAnsi="Times New Roman"/>
          <w:sz w:val="24"/>
          <w:szCs w:val="24"/>
        </w:rPr>
        <w:t xml:space="preserve">Countries with high shares of essential imports (fuel, food, medicine) have limited ability to reduce imports during crisis without severe welfare consequences. The three-month import cover benchmark implicitly assumes some capacity for import compression; countries with incompressible import baskets require higher buffers.</w:t>
      </w:r>
    </w:p>
    <w:p>
      <w:pPr>
        <w:spacing w:after="200" w:line="276"/>
      </w:pPr>
      <w:r>
        <w:rPr>
          <w:rFonts w:ascii="Times New Roman" w:cs="Times New Roman" w:eastAsia="Times New Roman" w:hAnsi="Times New Roman"/>
          <w:b/>
          <w:bCs/>
          <w:sz w:val="24"/>
          <w:szCs w:val="24"/>
        </w:rPr>
        <w:t xml:space="preserve">Measurement. </w:t>
      </w:r>
      <w:r>
        <w:rPr>
          <w:rFonts w:ascii="Times New Roman" w:cs="Times New Roman" w:eastAsia="Times New Roman" w:hAnsi="Times New Roman"/>
          <w:sz w:val="24"/>
          <w:szCs w:val="24"/>
        </w:rPr>
        <w:t xml:space="preserve">Sri Lanka's essential imports (petroleum, food, pharmaceuticals) constitute approximately 45% of total imports. During 2021-2022, imports were compressed by approximately 28%, but this compression created severe shortages and arguably accelerated crisis dynamics. The "true" compressibility—the reduction achievable without catastrophic consequences—may be closer to 15-20%.</w:t>
      </w:r>
    </w:p>
    <w:p>
      <w:pPr>
        <w:spacing w:after="200" w:line="276"/>
      </w:pPr>
      <w:r>
        <w:rPr>
          <w:rFonts w:ascii="Times New Roman" w:cs="Times New Roman" w:eastAsia="Times New Roman" w:hAnsi="Times New Roman"/>
          <w:b/>
          <w:bCs/>
          <w:sz w:val="24"/>
          <w:szCs w:val="24"/>
        </w:rPr>
        <w:t xml:space="preserve">Adjustment Formula. </w:t>
      </w:r>
      <w:r>
        <w:rPr>
          <w:rFonts w:ascii="Times New Roman" w:cs="Times New Roman" w:eastAsia="Times New Roman" w:hAnsi="Times New Roman"/>
          <w:sz w:val="24"/>
          <w:szCs w:val="24"/>
        </w:rPr>
        <w:t xml:space="preserve">Let e denote essential import share and e_baseline = 0.40 represent the benchmark. The compressibility adjustment is:</w:t>
      </w:r>
    </w:p>
    <w:p>
      <w:pPr>
        <w:spacing w:before="200" w:after="200"/>
        <w:jc w:val="center"/>
      </w:pPr>
      <w:r>
        <w:rPr>
          <w:rFonts w:ascii="Times New Roman" w:cs="Times New Roman" w:eastAsia="Times New Roman" w:hAnsi="Times New Roman"/>
          <w:i/>
          <w:iCs/>
          <w:sz w:val="24"/>
          <w:szCs w:val="24"/>
        </w:rPr>
        <w:t xml:space="preserve">Δ_compress = 2.0 × max(0, e - e_baseline)</w:t>
      </w:r>
    </w:p>
    <w:p>
      <w:pPr>
        <w:spacing w:after="200" w:line="276"/>
      </w:pPr>
      <w:r>
        <w:rPr>
          <w:rFonts w:ascii="Times New Roman" w:cs="Times New Roman" w:eastAsia="Times New Roman" w:hAnsi="Times New Roman"/>
          <w:b/>
          <w:bCs/>
          <w:sz w:val="24"/>
          <w:szCs w:val="24"/>
        </w:rPr>
        <w:t xml:space="preserve">Sri Lanka Calibration. </w:t>
      </w:r>
      <w:r>
        <w:rPr>
          <w:rFonts w:ascii="Times New Roman" w:cs="Times New Roman" w:eastAsia="Times New Roman" w:hAnsi="Times New Roman"/>
          <w:sz w:val="24"/>
          <w:szCs w:val="24"/>
        </w:rPr>
        <w:t xml:space="preserve">With e = 0.45 and e_baseline = 0.40:</w:t>
      </w:r>
    </w:p>
    <w:p>
      <w:pPr>
        <w:spacing w:before="200" w:after="200"/>
        <w:jc w:val="center"/>
      </w:pPr>
      <w:r>
        <w:rPr>
          <w:rFonts w:ascii="Times New Roman" w:cs="Times New Roman" w:eastAsia="Times New Roman" w:hAnsi="Times New Roman"/>
          <w:i/>
          <w:iCs/>
          <w:sz w:val="24"/>
          <w:szCs w:val="24"/>
        </w:rPr>
        <w:t xml:space="preserve">Δ_compress = 2.0 × (0.45 - 0.40) = 0.10 months</w:t>
      </w:r>
    </w:p>
    <w:p>
      <w:pPr>
        <w:pStyle w:val="Heading2"/>
      </w:pPr>
      <w:r>
        <w:rPr>
          <w:b/>
          <w:bCs/>
        </w:rPr>
        <w:t xml:space="preserve">6.5 Total Structural Adjustment</w:t>
      </w:r>
    </w:p>
    <w:p>
      <w:pPr>
        <w:spacing w:after="200" w:line="276"/>
      </w:pPr>
      <w:r>
        <w:rPr>
          <w:rFonts w:ascii="Times New Roman" w:cs="Times New Roman" w:eastAsia="Times New Roman" w:hAnsi="Times New Roman"/>
          <w:sz w:val="24"/>
          <w:szCs w:val="24"/>
        </w:rPr>
        <w:t xml:space="preserve">Combining the four structural factors yields the total adjustment to the generic three-month benchmark:</w:t>
      </w:r>
    </w:p>
    <w:p>
      <w:pPr>
        <w:spacing w:before="240" w:after="120"/>
      </w:pPr>
      <w:r>
        <w:rPr>
          <w:rFonts w:ascii="Times New Roman" w:cs="Times New Roman" w:eastAsia="Times New Roman" w:hAnsi="Times New Roman"/>
          <w:b/>
          <w:bCs/>
          <w:sz w:val="22"/>
          <w:szCs w:val="22"/>
        </w:rPr>
        <w:t xml:space="preserve">Table 4: Structural Threshold Adjustment for Sri Lanka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Factor</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Adjustment</w:t>
            </w:r>
          </w:p>
        </w:tc>
        <w:tc>
          <w:tcPr>
            <w:tcW w:type="dxa" w:w="38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Rationale</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Generic Baseline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3.0 months</w:t>
            </w:r>
          </w:p>
        </w:tc>
        <w:tc>
          <w:tcPr>
            <w:tcW w:type="dxa" w:w="3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Standard IMF benchmark</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Tourism Volatility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+0.5 months</w:t>
            </w:r>
          </w:p>
        </w:tc>
        <w:tc>
          <w:tcPr>
            <w:tcW w:type="dxa" w:w="3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18% FX share, 35% CV vs 20% baseline</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Remittance-FX Feedback</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+0.35 months</w:t>
            </w:r>
          </w:p>
        </w:tc>
        <w:tc>
          <w:tcPr>
            <w:tcW w:type="dxa" w:w="3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25% FX share, 45% diversion under stress</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Debt Service Lumpiness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+0.48 months</w:t>
            </w:r>
          </w:p>
        </w:tc>
        <w:tc>
          <w:tcPr>
            <w:tcW w:type="dxa" w:w="3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Lumpiness ratio 1.6 (ISB concentration)</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Import Compressibility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+0.10 months</w:t>
            </w:r>
          </w:p>
        </w:tc>
        <w:tc>
          <w:tcPr>
            <w:tcW w:type="dxa" w:w="3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45% essential vs 40% baseline</w:t>
            </w:r>
          </w:p>
        </w:tc>
      </w:tr>
      <w:tr>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Sri Lanka Optimal Threshold</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4.4 months</w:t>
            </w:r>
          </w:p>
        </w:tc>
        <w:tc>
          <w:tcPr>
            <w:tcW w:type="dxa" w:w="38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Sum of baseline and adjustments</w:t>
            </w:r>
          </w:p>
        </w:tc>
      </w:tr>
    </w:tbl>
    <w:p>
      <w:pPr>
        <w:spacing w:after="200" w:line="276"/>
      </w:pPr>
      <w:r>
        <w:rPr>
          <w:rFonts w:ascii="Times New Roman" w:cs="Times New Roman" w:eastAsia="Times New Roman" w:hAnsi="Times New Roman"/>
          <w:sz w:val="24"/>
          <w:szCs w:val="24"/>
        </w:rPr>
        <w:t xml:space="preserve">The structurally-adjusted threshold for Sri Lanka is approximately 4.4 months of import cover, compared to the generic 3.0-month benchmark. This 47% uplift reflects the compound effect of multiple vulnerability factors, each individually modest but cumulatively substantial.</w:t>
      </w:r>
    </w:p>
    <w:p>
      <w:pPr>
        <w:pStyle w:val="Heading2"/>
      </w:pPr>
      <w:r>
        <w:rPr>
          <w:b/>
          <w:bCs/>
        </w:rPr>
        <w:t xml:space="preserve">6.6 Implications for Crisis Timing</w:t>
      </w:r>
    </w:p>
    <w:p>
      <w:pPr>
        <w:spacing w:after="200" w:line="276"/>
      </w:pPr>
      <w:r>
        <w:rPr>
          <w:rFonts w:ascii="Times New Roman" w:cs="Times New Roman" w:eastAsia="Times New Roman" w:hAnsi="Times New Roman"/>
          <w:sz w:val="24"/>
          <w:szCs w:val="24"/>
        </w:rPr>
        <w:t xml:space="preserve">How would application of the structurally-adjusted threshold have changed crisis assessment? Table 5 compares breach timing under generic versus adjusted thresholds.</w:t>
      </w:r>
    </w:p>
    <w:p>
      <w:pPr>
        <w:spacing w:before="240" w:after="120"/>
      </w:pPr>
      <w:r>
        <w:rPr>
          <w:rFonts w:ascii="Times New Roman" w:cs="Times New Roman" w:eastAsia="Times New Roman" w:hAnsi="Times New Roman"/>
          <w:b/>
          <w:bCs/>
          <w:sz w:val="22"/>
          <w:szCs w:val="22"/>
        </w:rPr>
        <w:t xml:space="preserve">Table 5: Threshold Breach Comparison - Generic vs. Structural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Threshold</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First Breach</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Lead Time</w:t>
            </w:r>
          </w:p>
        </w:tc>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Assessment</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3.0 months (generic)</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March 2017</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62 months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Too early, low specificity</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4.4 months (structural)</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~August 2019</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~32 months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Post-Easter bombing stress</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2.0 months (warning)</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July 2021</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9 months</w:t>
            </w:r>
          </w:p>
        </w:tc>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Actionable crisis signal</w:t>
            </w:r>
          </w:p>
        </w:tc>
      </w:tr>
    </w:tbl>
    <w:p>
      <w:pPr>
        <w:spacing w:after="200" w:line="276"/>
      </w:pPr>
      <w:r>
        <w:rPr>
          <w:rFonts w:ascii="Times New Roman" w:cs="Times New Roman" w:eastAsia="Times New Roman" w:hAnsi="Times New Roman"/>
          <w:sz w:val="24"/>
          <w:szCs w:val="24"/>
        </w:rPr>
        <w:t xml:space="preserve">The structurally-adjusted threshold would have signaled elevated vulnerability following the April 2019 Easter bombings, which reduced tourism earnings and initiated reserve pressure. This earlier signal, while not indicating imminent crisis, would have flagged Sri Lanka as operating with inadequate buffers for its structural risk profile—a useful input for policy planning even in the absence of acute stress.</w:t>
      </w:r>
    </w:p>
    <w:p>
      <w:r>
        <w:br w:type="page"/>
      </w:r>
    </w:p>
    <w:p>
      <w:pPr>
        <w:pStyle w:val="Heading1"/>
      </w:pPr>
      <w:r>
        <w:rPr>
          <w:b/>
          <w:bCs/>
        </w:rPr>
        <w:t xml:space="preserve">7. Validation and Robustness</w:t>
      </w:r>
    </w:p>
    <w:p>
      <w:pPr>
        <w:pStyle w:val="Heading2"/>
      </w:pPr>
      <w:r>
        <w:rPr>
          <w:b/>
          <w:bCs/>
        </w:rPr>
        <w:t xml:space="preserve">7.1 Validation Against 2018 Stress Episode</w:t>
      </w:r>
    </w:p>
    <w:p>
      <w:pPr>
        <w:spacing w:after="200" w:line="276"/>
      </w:pPr>
      <w:r>
        <w:rPr>
          <w:rFonts w:ascii="Times New Roman" w:cs="Times New Roman" w:eastAsia="Times New Roman" w:hAnsi="Times New Roman"/>
          <w:sz w:val="24"/>
          <w:szCs w:val="24"/>
        </w:rPr>
        <w:t xml:space="preserve">Sri Lanka experienced a currency crisis in 2018 triggered by political instability and external pressures. The rupee depreciated approximately 16% during the year, and reserves declined from $7.7 billion to $6.9 billion. However, no sovereign default occurred, and reserves stabilized in 2019.</w:t>
      </w:r>
    </w:p>
    <w:p>
      <w:pPr>
        <w:spacing w:after="200" w:line="276"/>
      </w:pPr>
      <w:r>
        <w:rPr>
          <w:rFonts w:ascii="Times New Roman" w:cs="Times New Roman" w:eastAsia="Times New Roman" w:hAnsi="Times New Roman"/>
          <w:sz w:val="24"/>
          <w:szCs w:val="24"/>
        </w:rPr>
        <w:t xml:space="preserve">Our threshold framework correctly identifies 2018 as a stress episode rather than a crisis precursor. Import cover remained above 3.5 months throughout 2018, never breaching the structurally-adjusted 4.4-month threshold that would indicate inadequate buffers. The IMF ARA ratio remained above 200%, well within the adequate range. Greenspan-Guidotti stayed above 4.0, indicating comfortable debt coverage.</w:t>
      </w:r>
    </w:p>
    <w:p>
      <w:pPr>
        <w:spacing w:after="200" w:line="276"/>
      </w:pPr>
      <w:r>
        <w:rPr>
          <w:rFonts w:ascii="Times New Roman" w:cs="Times New Roman" w:eastAsia="Times New Roman" w:hAnsi="Times New Roman"/>
          <w:sz w:val="24"/>
          <w:szCs w:val="24"/>
        </w:rPr>
        <w:t xml:space="preserve">This validation is important: it demonstrates that our framework does not generate false positives for stress episodes that resolve without crisis. The 2018 event was a genuine shock requiring policy response, but Sri Lanka's reserve position was adequate to absorb it. Our thresholds correctly distinguish this from the 2021-2022 period when reserves became genuinely inadequate.</w:t>
      </w:r>
    </w:p>
    <w:p>
      <w:pPr>
        <w:pStyle w:val="Heading2"/>
      </w:pPr>
      <w:r>
        <w:rPr>
          <w:b/>
          <w:bCs/>
        </w:rPr>
        <w:t xml:space="preserve">7.2 Sensitivity to Structural Parameters</w:t>
      </w:r>
    </w:p>
    <w:p>
      <w:pPr>
        <w:spacing w:after="200" w:line="276"/>
      </w:pPr>
      <w:r>
        <w:rPr>
          <w:rFonts w:ascii="Times New Roman" w:cs="Times New Roman" w:eastAsia="Times New Roman" w:hAnsi="Times New Roman"/>
          <w:sz w:val="24"/>
          <w:szCs w:val="24"/>
        </w:rPr>
        <w:t xml:space="preserve">The structural adjustment framework involves several calibrated parameters. Table 6 presents sensitivity analysis showing how the optimal threshold varies with alternative parameter assumptions.</w:t>
      </w:r>
    </w:p>
    <w:p>
      <w:pPr>
        <w:spacing w:before="240" w:after="120"/>
      </w:pPr>
      <w:r>
        <w:rPr>
          <w:rFonts w:ascii="Times New Roman" w:cs="Times New Roman" w:eastAsia="Times New Roman" w:hAnsi="Times New Roman"/>
          <w:b/>
          <w:bCs/>
          <w:sz w:val="22"/>
          <w:szCs w:val="22"/>
        </w:rPr>
        <w:t xml:space="preserve">Table 6: Sensitivity of Optimal Threshold to Parameter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Scenario</w:t>
            </w:r>
          </w:p>
        </w:tc>
        <w:tc>
          <w:tcPr>
            <w:tcW w:type="dxa" w:w="312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Parameter Change</w:t>
            </w:r>
          </w:p>
        </w:tc>
        <w:tc>
          <w:tcPr>
            <w:tcW w:type="dxa" w:w="312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Optimal Threshold</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Baseline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As specified</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4.4 months</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Lower tourism volatility</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CVₜ = 25% (vs. 35%)</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4.1 months</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Higher tourism volatility</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CVₜ = 45%</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4.7 months</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Lower remittance diversion</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δ = 30% (vs. 45%)</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4.2 months</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No remittance adjustment</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δ = 0%</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4.1 months</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Smooth debt service</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λ = 1.0 (vs. 1.6)</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3.9 months</w:t>
            </w:r>
          </w:p>
        </w:tc>
      </w:tr>
      <w:tr>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All factors at minimum</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All adjustments = 0</w:t>
            </w:r>
          </w:p>
        </w:tc>
        <w:tc>
          <w:tcPr>
            <w:tcW w:type="dxa" w:w="312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3.0 months</w:t>
            </w:r>
          </w:p>
        </w:tc>
      </w:tr>
    </w:tbl>
    <w:p>
      <w:pPr>
        <w:spacing w:after="200" w:line="276"/>
      </w:pPr>
      <w:r>
        <w:rPr>
          <w:rFonts w:ascii="Times New Roman" w:cs="Times New Roman" w:eastAsia="Times New Roman" w:hAnsi="Times New Roman"/>
          <w:sz w:val="24"/>
          <w:szCs w:val="24"/>
        </w:rPr>
        <w:t xml:space="preserve">The optimal threshold remains in the 3.9-4.7 month range across reasonable parameter variations. The framework is most sensitive to tourism volatility assumptions, reflecting the importance of this sector to Sri Lanka's external position. Even under conservative assumptions (all factors at minimum), the threshold converges to the generic 3.0-month benchmark, confirming that our adjustments add to rather than replace the baseline.</w:t>
      </w:r>
    </w:p>
    <w:p>
      <w:pPr>
        <w:pStyle w:val="Heading2"/>
      </w:pPr>
      <w:r>
        <w:rPr>
          <w:b/>
          <w:bCs/>
        </w:rPr>
        <w:t xml:space="preserve">7.3 Cross-Country Implications</w:t>
      </w:r>
    </w:p>
    <w:p>
      <w:pPr>
        <w:spacing w:after="200" w:line="276"/>
      </w:pPr>
      <w:r>
        <w:rPr>
          <w:rFonts w:ascii="Times New Roman" w:cs="Times New Roman" w:eastAsia="Times New Roman" w:hAnsi="Times New Roman"/>
          <w:sz w:val="24"/>
          <w:szCs w:val="24"/>
        </w:rPr>
        <w:t xml:space="preserve">While our analysis focuses on Sri Lanka, the structural adjustment framework is designed for broader application. Table 7 presents indicative threshold adjustments for selected comparator countries based on publicly available data on tourism dependence, remittance shares, and debt profiles.</w:t>
      </w:r>
    </w:p>
    <w:p>
      <w:pPr>
        <w:spacing w:before="240" w:after="120"/>
      </w:pPr>
      <w:r>
        <w:rPr>
          <w:rFonts w:ascii="Times New Roman" w:cs="Times New Roman" w:eastAsia="Times New Roman" w:hAnsi="Times New Roman"/>
          <w:b/>
          <w:bCs/>
          <w:sz w:val="22"/>
          <w:szCs w:val="22"/>
        </w:rPr>
        <w:t xml:space="preserve">Table 7: Indicative Threshold Adjustments for Comparator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1560"/>
        <w:gridCol w:w="1560"/>
        <w:gridCol w:w="1248"/>
      </w:tblGrid>
      <w:tr>
        <w:tc>
          <w:tcPr>
            <w:tcW w:type="dxa" w:w="18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Country</w:t>
            </w:r>
          </w:p>
        </w:tc>
        <w:tc>
          <w:tcPr>
            <w:tcW w:type="dxa" w:w="1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Tourism %</w:t>
            </w:r>
          </w:p>
        </w:tc>
        <w:tc>
          <w:tcPr>
            <w:tcW w:type="dxa" w:w="1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Remit. %</w:t>
            </w:r>
          </w:p>
        </w:tc>
        <w:tc>
          <w:tcPr>
            <w:tcW w:type="dxa" w:w="1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Debt Lump.</w:t>
            </w:r>
          </w:p>
        </w:tc>
        <w:tc>
          <w:tcPr>
            <w:tcW w:type="dxa" w:w="1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Total Adj.</w:t>
            </w:r>
          </w:p>
        </w:tc>
        <w:tc>
          <w:tcPr>
            <w:tcW w:type="dxa" w:w="1248"/>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Threshold</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Sri Lanka</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18%</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25%</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1.6</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+1.4 mo</w:t>
            </w:r>
          </w:p>
        </w:tc>
        <w:tc>
          <w:tcPr>
            <w:tcW w:type="dxa" w:w="124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4.4 mo</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Maldives</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60%</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2%</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1.3</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+1.8 mo</w:t>
            </w:r>
          </w:p>
        </w:tc>
        <w:tc>
          <w:tcPr>
            <w:tcW w:type="dxa" w:w="124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4.8 mo</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Nepal</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3%</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28%</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1.1</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+0.5 mo</w:t>
            </w:r>
          </w:p>
        </w:tc>
        <w:tc>
          <w:tcPr>
            <w:tcW w:type="dxa" w:w="124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3.5 mo</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Jordan</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12%</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15%</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1.2</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+0.6 mo</w:t>
            </w:r>
          </w:p>
        </w:tc>
        <w:tc>
          <w:tcPr>
            <w:tcW w:type="dxa" w:w="124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3.6 mo</w:t>
            </w:r>
          </w:p>
        </w:tc>
      </w:tr>
      <w:tr>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Jamaica</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25%</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18%</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1.4</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+1.1 mo</w:t>
            </w:r>
          </w:p>
        </w:tc>
        <w:tc>
          <w:tcPr>
            <w:tcW w:type="dxa" w:w="124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4.1 mo</w:t>
            </w:r>
          </w:p>
        </w:tc>
      </w:tr>
    </w:tbl>
    <w:p>
      <w:pPr>
        <w:spacing w:after="2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i/>
          <w:iCs/>
          <w:sz w:val="20"/>
          <w:szCs w:val="20"/>
        </w:rPr>
        <w:t xml:space="preserve">Indicative calculations based on publicly available data. Country-specific validation required before policy application.</w:t>
      </w:r>
    </w:p>
    <w:p>
      <w:pPr>
        <w:spacing w:after="200" w:line="276"/>
      </w:pPr>
      <w:r>
        <w:rPr>
          <w:rFonts w:ascii="Times New Roman" w:cs="Times New Roman" w:eastAsia="Times New Roman" w:hAnsi="Times New Roman"/>
          <w:sz w:val="24"/>
          <w:szCs w:val="24"/>
        </w:rPr>
        <w:t xml:space="preserve">These indicative calculations suggest that tourism-dependent economies (Maldives, Jamaica) and those with significant remittance-FX feedback risk require thresholds substantially above the generic 3-month benchmark. Countries with lower structural vulnerabilities (Nepal, Jordan) warrant more modest adjustments. We emphasize that these are illustrative; rigorous application would require country-specific analysis of the kind conducted for Sri Lanka.</w:t>
      </w:r>
    </w:p>
    <w:p>
      <w:r>
        <w:br w:type="page"/>
      </w:r>
    </w:p>
    <w:p>
      <w:pPr>
        <w:pStyle w:val="Heading1"/>
      </w:pPr>
      <w:r>
        <w:rPr>
          <w:b/>
          <w:bCs/>
        </w:rPr>
        <w:t xml:space="preserve">8. Conclusion</w:t>
      </w:r>
    </w:p>
    <w:p>
      <w:pPr>
        <w:spacing w:after="200" w:line="276"/>
      </w:pPr>
      <w:r>
        <w:rPr>
          <w:rFonts w:ascii="Times New Roman" w:cs="Times New Roman" w:eastAsia="Times New Roman" w:hAnsi="Times New Roman"/>
          <w:sz w:val="24"/>
          <w:szCs w:val="24"/>
        </w:rPr>
        <w:t xml:space="preserve">This paper has examined reserve adequacy thresholds as early warning indicators using Sri Lanka's 2022 sovereign default as a case study. Our analysis yields three principal findings.</w:t>
      </w:r>
    </w:p>
    <w:p>
      <w:pPr>
        <w:spacing w:after="200" w:line="276"/>
      </w:pPr>
      <w:r>
        <w:rPr>
          <w:rFonts w:ascii="Times New Roman" w:cs="Times New Roman" w:eastAsia="Times New Roman" w:hAnsi="Times New Roman"/>
          <w:b/>
          <w:bCs/>
          <w:sz w:val="24"/>
          <w:szCs w:val="24"/>
        </w:rPr>
        <w:t xml:space="preserve">First, standard benchmarks provided actionable warning. </w:t>
      </w:r>
      <w:r>
        <w:rPr>
          <w:rFonts w:ascii="Times New Roman" w:cs="Times New Roman" w:eastAsia="Times New Roman" w:hAnsi="Times New Roman"/>
          <w:sz w:val="24"/>
          <w:szCs w:val="24"/>
        </w:rPr>
        <w:t xml:space="preserve">Multiple reserve adequacy metrics signaled distress six to nine months before Sri Lanka's default, with convergent breaches during July-September 2021 creating an unambiguous warning. Import cover below two months provided nine months of lead time; the IMF ARA metric breached 100% six months prior; the Greenspan-Guidotti ratio approached critical levels over the same horizon. These findings suggest that existing surveillance tools, when properly monitored, have substantial predictive value.</w:t>
      </w:r>
    </w:p>
    <w:p>
      <w:pPr>
        <w:spacing w:after="200" w:line="276"/>
      </w:pPr>
      <w:r>
        <w:rPr>
          <w:rFonts w:ascii="Times New Roman" w:cs="Times New Roman" w:eastAsia="Times New Roman" w:hAnsi="Times New Roman"/>
          <w:b/>
          <w:bCs/>
          <w:sz w:val="24"/>
          <w:szCs w:val="24"/>
        </w:rPr>
        <w:t xml:space="preserve">Second, generic thresholds understated Sri Lanka's vulnerability. </w:t>
      </w:r>
      <w:r>
        <w:rPr>
          <w:rFonts w:ascii="Times New Roman" w:cs="Times New Roman" w:eastAsia="Times New Roman" w:hAnsi="Times New Roman"/>
          <w:sz w:val="24"/>
          <w:szCs w:val="24"/>
        </w:rPr>
        <w:t xml:space="preserve">Using a loss function framework that balances crisis detection against false alarm costs, we derive a Sri Lanka-specific optimal import cover threshold of approximately 4.4 months—47% higher than the conventional 3-month benchmark. This gap reflects quantifiable structural factors: tourism earnings volatility, remittance vulnerability under exchange rate stress, concentrated debt maturities, and limited import compressibility. Applying generic thresholds to structurally vulnerable economies systematically understates risk.</w:t>
      </w:r>
    </w:p>
    <w:p>
      <w:pPr>
        <w:spacing w:after="200" w:line="276"/>
      </w:pPr>
      <w:r>
        <w:rPr>
          <w:rFonts w:ascii="Times New Roman" w:cs="Times New Roman" w:eastAsia="Times New Roman" w:hAnsi="Times New Roman"/>
          <w:b/>
          <w:bCs/>
          <w:sz w:val="24"/>
          <w:szCs w:val="24"/>
        </w:rPr>
        <w:t xml:space="preserve">Third, structural threshold calibration is feasible and useful. </w:t>
      </w:r>
      <w:r>
        <w:rPr>
          <w:rFonts w:ascii="Times New Roman" w:cs="Times New Roman" w:eastAsia="Times New Roman" w:hAnsi="Times New Roman"/>
          <w:sz w:val="24"/>
          <w:szCs w:val="24"/>
        </w:rPr>
        <w:t xml:space="preserve">We provide a framework for adjusting generic thresholds based on observable country characteristics. The key factors—export earnings volatility, remittance-FX feedback, debt lumpiness, and import compressibility—can be measured for any economy. While our calibration is specific to Sri Lanka, the methodology generalizes to other emerging markets facing similar structural vulnerabilities.</w:t>
      </w:r>
    </w:p>
    <w:p>
      <w:pPr>
        <w:spacing w:after="200" w:line="276"/>
      </w:pPr>
      <w:r>
        <w:rPr>
          <w:rFonts w:ascii="Times New Roman" w:cs="Times New Roman" w:eastAsia="Times New Roman" w:hAnsi="Times New Roman"/>
          <w:sz w:val="24"/>
          <w:szCs w:val="24"/>
        </w:rPr>
        <w:t xml:space="preserve">Three policy implications follow from our analysis:</w:t>
      </w:r>
    </w:p>
    <w:p>
      <w:pPr>
        <w:spacing w:after="200" w:line="276"/>
      </w:pPr>
      <w:r>
        <w:rPr>
          <w:rFonts w:ascii="Times New Roman" w:cs="Times New Roman" w:eastAsia="Times New Roman" w:hAnsi="Times New Roman"/>
          <w:i/>
          <w:iCs/>
          <w:sz w:val="24"/>
          <w:szCs w:val="24"/>
        </w:rPr>
        <w:t xml:space="preserve">For Sri Lanka and similar economies: </w:t>
      </w:r>
      <w:r>
        <w:rPr>
          <w:rFonts w:ascii="Times New Roman" w:cs="Times New Roman" w:eastAsia="Times New Roman" w:hAnsi="Times New Roman"/>
          <w:sz w:val="24"/>
          <w:szCs w:val="24"/>
        </w:rPr>
        <w:t xml:space="preserve">Countries with tourism dependence, significant remittance flows, and concentrated debt maturities should treat 4-5 months of import cover as the relevant adequacy threshold, not the conventional 3 months. The 2022 crisis demonstrated that generic benchmarks provided inadequate protection for Sri Lanka's structural risk profile.</w:t>
      </w:r>
    </w:p>
    <w:p>
      <w:pPr>
        <w:spacing w:after="200" w:line="276"/>
      </w:pPr>
      <w:r>
        <w:rPr>
          <w:rFonts w:ascii="Times New Roman" w:cs="Times New Roman" w:eastAsia="Times New Roman" w:hAnsi="Times New Roman"/>
          <w:i/>
          <w:iCs/>
          <w:sz w:val="24"/>
          <w:szCs w:val="24"/>
        </w:rPr>
        <w:t xml:space="preserve">For international surveillance: </w:t>
      </w:r>
      <w:r>
        <w:rPr>
          <w:rFonts w:ascii="Times New Roman" w:cs="Times New Roman" w:eastAsia="Times New Roman" w:hAnsi="Times New Roman"/>
          <w:sz w:val="24"/>
          <w:szCs w:val="24"/>
        </w:rPr>
        <w:t xml:space="preserve">Reserve adequacy assessments should report country-specific thresholds alongside generic benchmarks. The IMF's ARA metric already incorporates country-specific component weights; we propose extending this logic to threshold levels. Surveillance that applies uniform thresholds across diverse economies will systematically misidentify vulnerability.</w:t>
      </w:r>
    </w:p>
    <w:p>
      <w:pPr>
        <w:spacing w:after="200" w:line="276"/>
      </w:pPr>
      <w:r>
        <w:rPr>
          <w:rFonts w:ascii="Times New Roman" w:cs="Times New Roman" w:eastAsia="Times New Roman" w:hAnsi="Times New Roman"/>
          <w:i/>
          <w:iCs/>
          <w:sz w:val="24"/>
          <w:szCs w:val="24"/>
        </w:rPr>
        <w:t xml:space="preserve">For crisis prevention: </w:t>
      </w:r>
      <w:r>
        <w:rPr>
          <w:rFonts w:ascii="Times New Roman" w:cs="Times New Roman" w:eastAsia="Times New Roman" w:hAnsi="Times New Roman"/>
          <w:sz w:val="24"/>
          <w:szCs w:val="24"/>
        </w:rPr>
        <w:t xml:space="preserve">Early warning signals are necessary but not sufficient. Sri Lanka's experience shows that indicators provided timely warnings, but political constraints delayed policy response. More effective crisis prevention requires not only better indicators but also institutional arrangements that facilitate action when warnings emerge. Transparent publication of structurally-adjusted thresholds may help by creating clearer benchmarks against which policy adequacy can be assessed.</w:t>
      </w:r>
    </w:p>
    <w:p>
      <w:pPr>
        <w:spacing w:after="200" w:line="276"/>
      </w:pPr>
      <w:r>
        <w:rPr>
          <w:rFonts w:ascii="Times New Roman" w:cs="Times New Roman" w:eastAsia="Times New Roman" w:hAnsi="Times New Roman"/>
          <w:sz w:val="24"/>
          <w:szCs w:val="24"/>
        </w:rPr>
        <w:t xml:space="preserve">We acknowledge important limitations. Our analysis is based primarily on a single default episode; generalization requires validation against additional cases. The structural adjustment parameters involve judgment; alternative calibrations yield different threshold levels. The loss function weights reflect value judgments about crisis costs that policymakers must determine for themselves. We view this paper as contributing to an ongoing research program rather than providing definitive answers.</w:t>
      </w:r>
    </w:p>
    <w:p>
      <w:pPr>
        <w:spacing w:after="200" w:line="276"/>
      </w:pPr>
      <w:r>
        <w:rPr>
          <w:rFonts w:ascii="Times New Roman" w:cs="Times New Roman" w:eastAsia="Times New Roman" w:hAnsi="Times New Roman"/>
          <w:sz w:val="24"/>
          <w:szCs w:val="24"/>
        </w:rPr>
        <w:t xml:space="preserve">Future research should extend this calibration approach to a broader panel of emerging market crises, enabling statistical estimation of how structural factors affect optimal thresholds. Incorporating threshold uncertainty—reporting confidence intervals rather than point estimates—would better communicate calibration precision. Examining how optimal thresholds should evolve as economic structure changes would help policymakers maintain appropriate buffer policies over time.</w:t>
      </w:r>
    </w:p>
    <w:p>
      <w:pPr>
        <w:spacing w:after="200" w:line="276"/>
      </w:pPr>
      <w:r>
        <w:rPr>
          <w:rFonts w:ascii="Times New Roman" w:cs="Times New Roman" w:eastAsia="Times New Roman" w:hAnsi="Times New Roman"/>
          <w:sz w:val="24"/>
          <w:szCs w:val="24"/>
        </w:rPr>
        <w:t xml:space="preserve">The Sri Lankan case ultimately illustrates both the potential and limitations of early warning systems. Indicators provided timely signals; structural adjustment can improve calibration; but translating warnings into action remains the essential—and most difficult—step in crisis prevention.</w:t>
      </w:r>
    </w:p>
    <w:p>
      <w:r>
        <w:br w:type="page"/>
      </w:r>
    </w:p>
    <w:p>
      <w:pPr>
        <w:pStyle w:val="Heading1"/>
      </w:pPr>
      <w:r>
        <w:rPr>
          <w:b/>
          <w:bCs/>
        </w:rPr>
        <w:t xml:space="preserve">References</w:t>
      </w:r>
    </w:p>
    <w:p>
      <w:pPr>
        <w:spacing w:after="200" w:line="276"/>
      </w:pPr>
      <w:r>
        <w:rPr>
          <w:rFonts w:ascii="Times New Roman" w:cs="Times New Roman" w:eastAsia="Times New Roman" w:hAnsi="Times New Roman"/>
          <w:sz w:val="24"/>
          <w:szCs w:val="24"/>
        </w:rPr>
        <w:t xml:space="preserve">Athukorala, P. (2023). The Sri Lankan Economic Crisis: Genesis and Policy Response. Asian Economic Papers, forthcoming.</w:t>
      </w:r>
    </w:p>
    <w:p>
      <w:pPr>
        <w:spacing w:after="200" w:line="276"/>
      </w:pPr>
      <w:r>
        <w:rPr>
          <w:rFonts w:ascii="Times New Roman" w:cs="Times New Roman" w:eastAsia="Times New Roman" w:hAnsi="Times New Roman"/>
          <w:sz w:val="24"/>
          <w:szCs w:val="24"/>
        </w:rPr>
        <w:t xml:space="preserve">Berg, A., &amp; Pattillo, C. (1999). Predicting Currency Crises: The Indicators Approach and an Alternative. Journal of International Money and Finance, 18(4), 561-586.</w:t>
      </w:r>
    </w:p>
    <w:p>
      <w:pPr>
        <w:spacing w:after="200" w:line="276"/>
      </w:pPr>
      <w:r>
        <w:rPr>
          <w:rFonts w:ascii="Times New Roman" w:cs="Times New Roman" w:eastAsia="Times New Roman" w:hAnsi="Times New Roman"/>
          <w:sz w:val="24"/>
          <w:szCs w:val="24"/>
        </w:rPr>
        <w:t xml:space="preserve">Frankel, J., &amp; Saravelos, G. (2012). Can Leading Indicators Assess Country Vulnerability? Evidence from the 2008-09 Global Financial Crisis. Journal of International Economics, 87(2), 216-231.</w:t>
      </w:r>
    </w:p>
    <w:p>
      <w:pPr>
        <w:spacing w:after="200" w:line="276"/>
      </w:pPr>
      <w:r>
        <w:rPr>
          <w:rFonts w:ascii="Times New Roman" w:cs="Times New Roman" w:eastAsia="Times New Roman" w:hAnsi="Times New Roman"/>
          <w:sz w:val="24"/>
          <w:szCs w:val="24"/>
        </w:rPr>
        <w:t xml:space="preserve">Greenspan, A. (1999). Currency Reserves and Debt. Remarks at the World Bank Conference on Recent Trends in Reserves Management, Washington, DC.</w:t>
      </w:r>
    </w:p>
    <w:p>
      <w:pPr>
        <w:spacing w:after="200" w:line="276"/>
      </w:pPr>
      <w:r>
        <w:rPr>
          <w:rFonts w:ascii="Times New Roman" w:cs="Times New Roman" w:eastAsia="Times New Roman" w:hAnsi="Times New Roman"/>
          <w:sz w:val="24"/>
          <w:szCs w:val="24"/>
        </w:rPr>
        <w:t xml:space="preserve">Guidotti, P. (1999). Remarks at the G-33 Seminar. Bonn, Germany.</w:t>
      </w:r>
    </w:p>
    <w:p>
      <w:pPr>
        <w:spacing w:after="200" w:line="276"/>
      </w:pPr>
      <w:r>
        <w:rPr>
          <w:rFonts w:ascii="Times New Roman" w:cs="Times New Roman" w:eastAsia="Times New Roman" w:hAnsi="Times New Roman"/>
          <w:sz w:val="24"/>
          <w:szCs w:val="24"/>
        </w:rPr>
        <w:t xml:space="preserve">IMF. (2015). Assessing Reserve Adequacy - Specific Proposals. IMF Policy Paper, April 2015.</w:t>
      </w:r>
    </w:p>
    <w:p>
      <w:pPr>
        <w:spacing w:after="200" w:line="276"/>
      </w:pPr>
      <w:r>
        <w:rPr>
          <w:rFonts w:ascii="Times New Roman" w:cs="Times New Roman" w:eastAsia="Times New Roman" w:hAnsi="Times New Roman"/>
          <w:sz w:val="24"/>
          <w:szCs w:val="24"/>
        </w:rPr>
        <w:t xml:space="preserve">Kaminsky, G., Lizondo, S., &amp; Reinhart, C. M. (1998). Leading Indicators of Currency Crises. IMF Staff Papers, 45(1), 1-48.</w:t>
      </w:r>
    </w:p>
    <w:p>
      <w:pPr>
        <w:spacing w:after="200" w:line="276"/>
      </w:pPr>
      <w:r>
        <w:rPr>
          <w:rFonts w:ascii="Times New Roman" w:cs="Times New Roman" w:eastAsia="Times New Roman" w:hAnsi="Times New Roman"/>
          <w:sz w:val="24"/>
          <w:szCs w:val="24"/>
        </w:rPr>
        <w:t xml:space="preserve">Rodrik, D. (2006). The Social Cost of Foreign Exchange Reserves. International Economic Journal, 20(3), 253-266.</w:t>
      </w:r>
    </w:p>
    <w:p>
      <w:pPr>
        <w:spacing w:after="200" w:line="276"/>
      </w:pPr>
      <w:r>
        <w:rPr>
          <w:rFonts w:ascii="Times New Roman" w:cs="Times New Roman" w:eastAsia="Times New Roman" w:hAnsi="Times New Roman"/>
          <w:sz w:val="24"/>
          <w:szCs w:val="24"/>
        </w:rPr>
        <w:t xml:space="preserve">Weerakoon, D. (2022). Sri Lanka's Debt Crisis: Causes and Consequences. East Asia Forum, April 2022.</w:t>
      </w:r>
    </w:p>
    <w:p>
      <w:r>
        <w:br w:type="page"/>
      </w:r>
    </w:p>
    <w:p>
      <w:pPr>
        <w:pStyle w:val="Heading1"/>
      </w:pPr>
      <w:r>
        <w:rPr>
          <w:b/>
          <w:bCs/>
        </w:rPr>
        <w:t xml:space="preserve">Appendix: Data Sources and Variable Definitions</w:t>
      </w:r>
    </w:p>
    <w:p>
      <w:pPr>
        <w:spacing w:before="240" w:after="120"/>
      </w:pPr>
      <w:r>
        <w:rPr>
          <w:rFonts w:ascii="Times New Roman" w:cs="Times New Roman" w:eastAsia="Times New Roman" w:hAnsi="Times New Roman"/>
          <w:b/>
          <w:bCs/>
          <w:sz w:val="22"/>
          <w:szCs w:val="22"/>
        </w:rPr>
        <w:t xml:space="preserve">Table A1: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c>
          <w:tcPr>
            <w:tcW w:type="dxa" w:w="2808"/>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Variable</w:t>
            </w:r>
          </w:p>
        </w:tc>
        <w:tc>
          <w:tcPr>
            <w:tcW w:type="dxa" w:w="2808"/>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Source</w:t>
            </w:r>
          </w:p>
        </w:tc>
        <w:tc>
          <w:tcPr>
            <w:tcW w:type="dxa" w:w="18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Frequency</w:t>
            </w:r>
          </w:p>
        </w:tc>
        <w:tc>
          <w:tcPr>
            <w:tcW w:type="dxa" w:w="18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2"/>
                <w:szCs w:val="22"/>
              </w:rPr>
              <w:t xml:space="preserve">Range</w:t>
            </w:r>
          </w:p>
        </w:tc>
      </w:tr>
      <w:tr>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Gross Reserves</w:t>
            </w:r>
          </w:p>
        </w:tc>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CBSL Historical Data</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Monthly</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2013-2025</w:t>
            </w:r>
          </w:p>
        </w:tc>
      </w:tr>
      <w:tr>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Imports</w:t>
            </w:r>
          </w:p>
        </w:tc>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CBSL Table 2.04</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Monthly</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2007-2025</w:t>
            </w:r>
          </w:p>
        </w:tc>
      </w:tr>
      <w:tr>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Exports</w:t>
            </w:r>
          </w:p>
        </w:tc>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CBSL Table 2.02</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Monthly</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2007-2025</w:t>
            </w:r>
          </w:p>
        </w:tc>
      </w:tr>
      <w:tr>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External Debt</w:t>
            </w:r>
          </w:p>
        </w:tc>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CBSL Table 2.12</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Quarterly</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2012-2025</w:t>
            </w:r>
          </w:p>
        </w:tc>
      </w:tr>
      <w:tr>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Portfolio Liabilities</w:t>
            </w:r>
          </w:p>
        </w:tc>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CBSL IIP</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Quarterly</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2012-2025</w:t>
            </w:r>
          </w:p>
        </w:tc>
      </w:tr>
      <w:tr>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Broad Money (M2)</w:t>
            </w:r>
          </w:p>
        </w:tc>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CBSL Table 4.02</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Monthly</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1995-2025</w:t>
            </w:r>
          </w:p>
        </w:tc>
      </w:tr>
      <w:tr>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Tourism Earnings</w:t>
            </w:r>
          </w:p>
        </w:tc>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CBSL Current Account</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Monthly</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2010-2025</w:t>
            </w:r>
          </w:p>
        </w:tc>
      </w:tr>
      <w:tr>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Remittances</w:t>
            </w:r>
          </w:p>
        </w:tc>
        <w:tc>
          <w:tcPr>
            <w:tcW w:type="dxa" w:w="2808"/>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CBSL Current Account</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Monthly</w:t>
            </w:r>
          </w:p>
        </w:tc>
        <w:tc>
          <w:tcPr>
            <w:tcW w:type="dxa" w:w="18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2010-2025</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Reserve Adequacy Thresholds - Working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2026-01-19T08:14:13.399Z</dcterms:created>
  <dcterms:modified xsi:type="dcterms:W3CDTF">2026-01-19T08:14:13.400Z</dcterms:modified>
</cp:coreProperties>
</file>

<file path=docProps/custom.xml><?xml version="1.0" encoding="utf-8"?>
<Properties xmlns="http://schemas.openxmlformats.org/officeDocument/2006/custom-properties" xmlns:vt="http://schemas.openxmlformats.org/officeDocument/2006/docPropsVTypes"/>
</file>