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00"/>
      </w:pPr>
      <w:r>
        <w:rPr>
          <w:rFonts w:ascii="Times New Roman" w:cs="Times New Roman" w:eastAsia="Times New Roman" w:hAnsi="Times New Roman"/>
          <w:b/>
          <w:bCs/>
          <w:sz w:val="28"/>
          <w:szCs w:val="28"/>
        </w:rPr>
        <w:t xml:space="preserve">4. Econometric and Machine Learning Specifications</w:t>
      </w:r>
    </w:p>
    <w:p>
      <w:pPr>
        <w:pStyle w:val="Heading2"/>
        <w:spacing w:before="240" w:after="200"/>
      </w:pPr>
      <w:r>
        <w:rPr>
          <w:rFonts w:ascii="Times New Roman" w:cs="Times New Roman" w:eastAsia="Times New Roman" w:hAnsi="Times New Roman"/>
          <w:b/>
          <w:bCs/>
          <w:sz w:val="26"/>
          <w:szCs w:val="26"/>
        </w:rPr>
        <w:t xml:space="preserve">4.1 Model Overview</w:t>
      </w:r>
    </w:p>
    <w:p>
      <w:pPr>
        <w:spacing w:after="200" w:line="360"/>
        <w:jc w:val="both"/>
      </w:pPr>
      <w:r>
        <w:rPr>
          <w:rFonts w:ascii="Times New Roman" w:cs="Times New Roman" w:eastAsia="Times New Roman" w:hAnsi="Times New Roman"/>
          <w:sz w:val="24"/>
          <w:szCs w:val="24"/>
        </w:rPr>
        <w:t xml:space="preserve">Fourteen forecasting models drawn from four methodological traditions are compared. Table 1 summarises each model’s estimation method, uncertainty quantification mechanism, and key references. The ARIMAX, VECM, XGBoost, LSTM, and benchmark specifications follow standard implementations and are described briefly here; the remainder of this section focuses on the less standard specifications where the implementation choices are consequential for the results.</w:t>
      </w:r>
    </w:p>
    <w:p>
      <w:pPr>
        <w:spacing w:before="120" w:after="120"/>
        <w:jc w:val="both"/>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Model specifications. †Uncertainty based on full-sample innovation standard deviation, constant across horizons. ‡Uncertainty based on training residual standard deviation; see Section 4.4 for discussion of miscalibration.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700"/>
        <w:gridCol w:w="1400"/>
        <w:gridCol w:w="1200"/>
        <w:gridCol w:w="1760"/>
      </w:tblGrid>
      <w:tr>
        <w:tc>
          <w:tcPr>
            <w:tcW w:type="dxa" w:w="1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sz w:val="20"/>
                <w:szCs w:val="20"/>
              </w:rPr>
              <w:t xml:space="preserve">Model</w:t>
            </w:r>
          </w:p>
        </w:tc>
        <w:tc>
          <w:tcPr>
            <w:tcW w:type="dxa" w:w="15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sz w:val="20"/>
                <w:szCs w:val="20"/>
              </w:rPr>
              <w:t xml:space="preserve">Tradition</w:t>
            </w:r>
          </w:p>
        </w:tc>
        <w:tc>
          <w:tcPr>
            <w:tcW w:type="dxa" w:w="1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sz w:val="20"/>
                <w:szCs w:val="20"/>
              </w:rPr>
              <w:t xml:space="preserve">Estimation</w:t>
            </w:r>
          </w:p>
        </w:tc>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sz w:val="20"/>
                <w:szCs w:val="20"/>
              </w:rPr>
              <w:t xml:space="preserve">Uncertainty</w:t>
            </w:r>
          </w:p>
        </w:tc>
        <w:tc>
          <w:tcPr>
            <w:tcW w:type="dxa" w:w="1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sz w:val="20"/>
                <w:szCs w:val="20"/>
              </w:rPr>
              <w:t xml:space="preserve">Horizon-
dependent?</w:t>
            </w:r>
          </w:p>
        </w:tc>
        <w:tc>
          <w:tcPr>
            <w:tcW w:type="dxa" w:w="176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sz w:val="20"/>
                <w:szCs w:val="20"/>
              </w:rPr>
              <w:t xml:space="preserve">Key references</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Naïve RW</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Benchmark</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None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Meese &amp; Rogoff (1983)</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Seasonal naïve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Benchmark</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None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Hyndman &amp; Athanasopoulos (2021)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ARIMAX</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Classical</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Cond. MLE; AIC lag selection</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Gaussian asymptotic</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Yes</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Box &amp; Jenkins (1976)</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VECM</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Classical</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Johansen MLE; rank on train only</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Asymptotic</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Yes</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Johansen (1991)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BVAR</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Bayesian</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Gibbs sampler; 5,000 draws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Posterior predictive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Yes</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Litterman (1986); Bańbura et al. (2010)</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DMA / DMS</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Bayesian</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Recursive weight update</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Weighted mixture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Yes</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Raftery et al. (2010); Koop &amp; Korobilis (2012)</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MS-VAR</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Regime-switching</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EM algorithm; 2 regimes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Regime-integrated</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Hamilton (1989); Krolzig (1997)</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MS-VECM</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Regime-switching</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EM + Johansen ECT</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Regime-integrated</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Krolzig (1997)</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XGBoost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Machine learning</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Gradient boosting; 200 trees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Training residual σ</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Chen &amp; Guestrin (2016)</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LSTM</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Machine learning</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Adam; early stopping</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None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Hochreiter &amp; Schmidhuber (1997)</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Local level</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State-space</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Kalman filter MLE</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Kalman forecast variance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Yes</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Harvey (1989)</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BoP identity</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Structural</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Accounting identity</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None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w:t>
            </w:r>
          </w:p>
        </w:tc>
      </w:tr>
    </w:tbl>
    <w:p>
      <w:pPr>
        <w:spacing w:after="240"/>
        <w:jc w:val="both"/>
      </w:pPr>
      <w:r>
        <w:rPr>
          <w:rFonts w:ascii="Times New Roman" w:cs="Times New Roman" w:eastAsia="Times New Roman" w:hAnsi="Times New Roman"/>
          <w:sz w:val="24"/>
          <w:szCs w:val="24"/>
        </w:rPr>
        <w:t xml:space="preserve">The ARIMAX specification uses automatic AIC-based lag selection with maximum order 5 and conditional maximum likelihood estimation. The VECM determines cointegrating rank via Johansen’s trace test at the 5% level on the training sample exclusively — an earlier implementation that estimated rank on the full sample was identified as a source of look-ahead bias and corrected. The XGBoost feature set comprises lagged target values at horizons {1, 2, 3, 6, 12}, lagged exogenous variables at {1, 3}, rolling 3- and 6-month moving averages, rolling 3-month volatility, and 1- and 3-month momentum indicators, all shifted by one period to prevent leakage. The LSTM uses a single 32-unit layer with 0.3 dropout, 6-month input sequences, and min-max scaling fitted on the training sample only. Both ML models generate multi-step forecasts recursively. The local level model is an unobserved components specification estimated via the Kalman filter, providing naturally horizon-dependent uncertainty through the forecast error variance decomposition. The BoP identity forecaster aggregates naïvely extrapolated component forecasts (trade balance, remittances, tourism, portfolio flows) via the accounting identity, producing point forecasts with no uncertainty bands but enabling scenario analysis.</w:t>
      </w:r>
    </w:p>
    <w:p>
      <w:pPr>
        <w:pStyle w:val="Heading2"/>
        <w:spacing w:before="240" w:after="200"/>
      </w:pPr>
      <w:r>
        <w:rPr>
          <w:rFonts w:ascii="Times New Roman" w:cs="Times New Roman" w:eastAsia="Times New Roman" w:hAnsi="Times New Roman"/>
          <w:b/>
          <w:bCs/>
          <w:sz w:val="26"/>
          <w:szCs w:val="26"/>
        </w:rPr>
        <w:t xml:space="preserve">4.2 Regime-Switching Specifications</w:t>
      </w:r>
    </w:p>
    <w:p>
      <w:pPr>
        <w:spacing w:after="200" w:line="360"/>
        <w:jc w:val="both"/>
      </w:pPr>
      <w:r>
        <w:rPr>
          <w:rFonts w:ascii="Times New Roman" w:cs="Times New Roman" w:eastAsia="Times New Roman" w:hAnsi="Times New Roman"/>
          <w:sz w:val="24"/>
          <w:szCs w:val="24"/>
        </w:rPr>
        <w:t xml:space="preserve">The regime-switching specifications constitute the primary methodological contribution of this paper and receive correspondingly detailed treatment. Reserve dynamics in crisis-prone emerging markets are characterised by qualitatively distinct phases — gradual accumulation, rapid depletion, and post-crisis rebuilding — that violate the parameter stability assumption embedded in linear models. The Markov-switching framework accommodates this by allowing all model parameters to shift between discrete states governed by an unobserved Markov chain.</w:t>
      </w:r>
    </w:p>
    <w:p>
      <w:pPr>
        <w:pStyle w:val="Heading3"/>
        <w:spacing w:before="240" w:after="200"/>
      </w:pPr>
      <w:r>
        <w:rPr>
          <w:rFonts w:ascii="Times New Roman" w:cs="Times New Roman" w:eastAsia="Times New Roman" w:hAnsi="Times New Roman"/>
          <w:b/>
          <w:bCs/>
          <w:sz w:val="24"/>
          <w:szCs w:val="24"/>
        </w:rPr>
        <w:t xml:space="preserve">4.2.1 Markov-Switching VAR</w:t>
      </w:r>
    </w:p>
    <w:p>
      <w:pPr>
        <w:spacing w:after="200" w:line="360"/>
        <w:jc w:val="both"/>
      </w:pPr>
      <w:r>
        <w:rPr>
          <w:rFonts w:ascii="Times New Roman" w:cs="Times New Roman" w:eastAsia="Times New Roman" w:hAnsi="Times New Roman"/>
          <w:sz w:val="24"/>
          <w:szCs w:val="24"/>
        </w:rPr>
        <w:t xml:space="preserve">The two-regime MSIAH(</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specification for the first-differenced system is:</w:t>
      </w:r>
    </w:p>
    <w:p>
      <w:pPr>
        <w:spacing w:before="120" w:after="120"/>
        <w:jc w:val="center"/>
      </w:pPr>
      <w:r>
        <w:rPr>
          <w:rFonts w:ascii="Times New Roman" w:cs="Times New Roman" w:eastAsia="Times New Roman" w:hAnsi="Times New Roman"/>
          <w:sz w:val="24"/>
          <w:szCs w:val="24"/>
        </w:rPr>
        <w:t xml:space="preserve">Δ</w:t>
      </w:r>
      <w:r>
        <w:rPr>
          <w:rFonts w:ascii="Times New Roman" w:cs="Times New Roman" w:eastAsia="Times New Roman" w:hAnsi="Times New Roman"/>
          <w:b/>
          <w:bCs/>
          <w:i/>
          <w:iCs/>
          <w:sz w:val="24"/>
          <w:szCs w:val="24"/>
        </w:rPr>
        <w:t xml:space="preserve">Y</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)Δ</w:t>
      </w:r>
      <w:r>
        <w:rPr>
          <w:rFonts w:ascii="Times New Roman" w:cs="Times New Roman" w:eastAsia="Times New Roman" w:hAnsi="Times New Roman"/>
          <w:b/>
          <w:bCs/>
          <w:i/>
          <w:iCs/>
          <w:sz w:val="24"/>
          <w:szCs w:val="24"/>
        </w:rPr>
        <w:t xml:space="preserve">Y</w:t>
      </w:r>
      <w:r>
        <w:rPr>
          <w:rFonts w:ascii="Times New Roman" w:cs="Times New Roman" w:eastAsia="Times New Roman" w:hAnsi="Times New Roman"/>
          <w:sz w:val="24"/>
          <w:szCs w:val="24"/>
          <w:vertAlign w:val="subscript"/>
        </w:rPr>
        <w:t xml:space="preserve">t−i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N(</w:t>
      </w:r>
      <w:r>
        <w:rPr>
          <w:rFonts w:ascii="Times New Roman" w:cs="Times New Roman" w:eastAsia="Times New Roman" w:hAnsi="Times New Roman"/>
          <w:b/>
          <w:bCs/>
          <w:sz w:val="24"/>
          <w:szCs w:val="24"/>
        </w:rPr>
        <w:t xml:space="preserve">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w:t>
      </w:r>
    </w:p>
    <w:p>
      <w:pPr>
        <w:spacing w:after="20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{0, 1} is the latent regime, with intercepts, autoregressive matrices, and covariance all regime-dependent. Estimation proceeds via the Expectation-Maximisation algorithm. The E-step computes smoothed regime probabilities using the Hamilton filter (forward) and Kim smoother (backward). The M-step re-estimates regime-dependent parameters by weighted least squares using smoothed probabilities as weights, and updates the transition matrix from pairwise regime occupation frequencies. The algorithm iterates until log-likelihood convergence (tolerance 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or 50 iterations.</w:t>
      </w:r>
    </w:p>
    <w:p>
      <w:pPr>
        <w:spacing w:after="200" w:line="360"/>
        <w:jc w:val="both"/>
      </w:pPr>
      <w:r>
        <w:rPr>
          <w:rFonts w:ascii="Times New Roman" w:cs="Times New Roman" w:eastAsia="Times New Roman" w:hAnsi="Times New Roman"/>
          <w:sz w:val="24"/>
          <w:szCs w:val="24"/>
        </w:rPr>
        <w:t xml:space="preserve">Three implementation choices are consequential for the results. </w:t>
      </w:r>
      <w:r>
        <w:rPr>
          <w:rFonts w:ascii="Times New Roman" w:cs="Times New Roman" w:eastAsia="Times New Roman" w:hAnsi="Times New Roman"/>
          <w:i/>
          <w:iCs/>
          <w:sz w:val="24"/>
          <w:szCs w:val="24"/>
        </w:rPr>
        <w:t xml:space="preserve">First</w:t>
      </w:r>
      <w:r>
        <w:rPr>
          <w:rFonts w:ascii="Times New Roman" w:cs="Times New Roman" w:eastAsia="Times New Roman" w:hAnsi="Times New Roman"/>
          <w:sz w:val="24"/>
          <w:szCs w:val="24"/>
        </w:rPr>
        <w:t xml:space="preserve">, regime initialisation is empirically driven: a rolling 6-month standard deviation of the target’s first differences is computed, and observations exceeding the 75th percentile of this volatility measure are assigned to the high-volatility regime. This avoids the sensitivity to random initialisation that can trap the EM algorithm in local optima. </w:t>
      </w:r>
      <w:r>
        <w:rPr>
          <w:rFonts w:ascii="Times New Roman" w:cs="Times New Roman" w:eastAsia="Times New Roman" w:hAnsi="Times New Roman"/>
          <w:i/>
          <w:iCs/>
          <w:sz w:val="24"/>
          <w:szCs w:val="24"/>
        </w:rPr>
        <w:t xml:space="preserve">Second</w:t>
      </w:r>
      <w:r>
        <w:rPr>
          <w:rFonts w:ascii="Times New Roman" w:cs="Times New Roman" w:eastAsia="Times New Roman" w:hAnsi="Times New Roman"/>
          <w:sz w:val="24"/>
          <w:szCs w:val="24"/>
        </w:rPr>
        <w:t xml:space="preserve">, the transition matrix is initialised with 0.9 on the diagonal, encoding prior persistence — economically motivated by the observation that reserve crises are sustained episodes rather than single-month events. </w:t>
      </w:r>
      <w:r>
        <w:rPr>
          <w:rFonts w:ascii="Times New Roman" w:cs="Times New Roman" w:eastAsia="Times New Roman" w:hAnsi="Times New Roman"/>
          <w:i/>
          <w:iCs/>
          <w:sz w:val="24"/>
          <w:szCs w:val="24"/>
        </w:rPr>
        <w:t xml:space="preserve">Third</w:t>
      </w:r>
      <w:r>
        <w:rPr>
          <w:rFonts w:ascii="Times New Roman" w:cs="Times New Roman" w:eastAsia="Times New Roman" w:hAnsi="Times New Roman"/>
          <w:sz w:val="24"/>
          <w:szCs w:val="24"/>
        </w:rPr>
        <w:t xml:space="preserve">, multi-step forecasts integrate over the regime distribution at each horizon: given the current regime probabilities and transition matrix, the model computes expected regime probabilities at horizon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forms the forecast as a probability-weighted combination of regime-conditional predictions. This ensures that forecast paths account for the possibility of regime transitions within the forecast window.</w:t>
      </w:r>
    </w:p>
    <w:p>
      <w:pPr>
        <w:spacing w:after="200" w:line="360"/>
        <w:jc w:val="both"/>
      </w:pPr>
      <w:r>
        <w:rPr>
          <w:rFonts w:ascii="Times New Roman" w:cs="Times New Roman" w:eastAsia="Times New Roman" w:hAnsi="Times New Roman"/>
          <w:sz w:val="24"/>
          <w:szCs w:val="24"/>
        </w:rPr>
        <w:t xml:space="preserve">In estimated models, regime 0 consistently corresponds to low-volatility accumulation periods with small positive mean reserve changes, while regime 1 captures high-volatility depletion episodes with large negative means. Estimated diagonal transition probabilities typically exceed 0.85, implying expected regime durations of 7–10 months.</w:t>
      </w:r>
    </w:p>
    <w:p>
      <w:pPr>
        <w:pStyle w:val="Heading3"/>
        <w:spacing w:before="240" w:after="200"/>
      </w:pPr>
      <w:r>
        <w:rPr>
          <w:rFonts w:ascii="Times New Roman" w:cs="Times New Roman" w:eastAsia="Times New Roman" w:hAnsi="Times New Roman"/>
          <w:b/>
          <w:bCs/>
          <w:sz w:val="24"/>
          <w:szCs w:val="24"/>
        </w:rPr>
        <w:t xml:space="preserve">4.2.2 Markov-Switching VECM</w:t>
      </w:r>
    </w:p>
    <w:p>
      <w:pPr>
        <w:spacing w:after="200" w:line="360"/>
        <w:jc w:val="both"/>
      </w:pPr>
      <w:r>
        <w:rPr>
          <w:rFonts w:ascii="Times New Roman" w:cs="Times New Roman" w:eastAsia="Times New Roman" w:hAnsi="Times New Roman"/>
          <w:sz w:val="24"/>
          <w:szCs w:val="24"/>
        </w:rPr>
        <w:t xml:space="preserve">The MS-VECM augments the regime-switching specification with an error correction term derived from the Johansen cointegrating relationship:</w:t>
      </w:r>
    </w:p>
    <w:p>
      <w:pPr>
        <w:spacing w:before="120" w:after="120"/>
        <w:jc w:val="center"/>
      </w:pPr>
      <w:r>
        <w:rPr>
          <w:rFonts w:ascii="Times New Roman" w:cs="Times New Roman" w:eastAsia="Times New Roman" w:hAnsi="Times New Roman"/>
          <w:sz w:val="24"/>
          <w:szCs w:val="24"/>
        </w:rPr>
        <w:t xml:space="preserve">Δ</w:t>
      </w:r>
      <w:r>
        <w:rPr>
          <w:rFonts w:ascii="Times New Roman" w:cs="Times New Roman" w:eastAsia="Times New Roman" w:hAnsi="Times New Roman"/>
          <w:b/>
          <w:bCs/>
          <w:i/>
          <w:iCs/>
          <w:sz w:val="24"/>
          <w:szCs w:val="24"/>
        </w:rPr>
        <w:t xml:space="preserve">Y</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b/>
          <w:bCs/>
          <w:i/>
          <w:iCs/>
          <w:sz w:val="24"/>
          <w:szCs w:val="24"/>
        </w:rPr>
        <w:t xml:space="preserve">β′Y</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)Δ</w:t>
      </w:r>
      <w:r>
        <w:rPr>
          <w:rFonts w:ascii="Times New Roman" w:cs="Times New Roman" w:eastAsia="Times New Roman" w:hAnsi="Times New Roman"/>
          <w:b/>
          <w:bCs/>
          <w:i/>
          <w:iCs/>
          <w:sz w:val="24"/>
          <w:szCs w:val="24"/>
        </w:rPr>
        <w:t xml:space="preserve">Y</w:t>
      </w:r>
      <w:r>
        <w:rPr>
          <w:rFonts w:ascii="Times New Roman" w:cs="Times New Roman" w:eastAsia="Times New Roman" w:hAnsi="Times New Roman"/>
          <w:sz w:val="24"/>
          <w:szCs w:val="24"/>
          <w:vertAlign w:val="subscript"/>
        </w:rPr>
        <w:t xml:space="preserve">t−i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sz w:val="24"/>
          <w:szCs w:val="24"/>
          <w:vertAlign w:val="subscript"/>
        </w:rPr>
        <w:t xml:space="preserve">t</w:t>
      </w:r>
    </w:p>
    <w:p>
      <w:pPr>
        <w:spacing w:after="200" w:line="360"/>
        <w:jc w:val="both"/>
      </w:pPr>
      <w:r>
        <w:rPr>
          <w:rFonts w:ascii="Times New Roman" w:cs="Times New Roman" w:eastAsia="Times New Roman" w:hAnsi="Times New Roman"/>
          <w:sz w:val="24"/>
          <w:szCs w:val="24"/>
        </w:rPr>
        <w:t xml:space="preserve">The cointegrating vector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is estimated via Johansen on the training sample and held fixed throughout; the regime-dependent adjustment speed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allows mean reversion to differ across regimes. This is economically motivated: adjustment toward the long-run equilibrium implied by trade flows and the exchange rate may be rapid during active reserve rebuilding but inoperative during crisis episodes when the equilibrium relationship itself is breaking down. During forecasting, the error correction term is held at its last observed value, reflecting the assumption that the measured disequilibrium persists through the near-term forecast period.</w:t>
      </w:r>
    </w:p>
    <w:p>
      <w:pPr>
        <w:pStyle w:val="Heading2"/>
        <w:spacing w:before="240" w:after="200"/>
      </w:pPr>
      <w:r>
        <w:rPr>
          <w:rFonts w:ascii="Times New Roman" w:cs="Times New Roman" w:eastAsia="Times New Roman" w:hAnsi="Times New Roman"/>
          <w:b/>
          <w:bCs/>
          <w:sz w:val="26"/>
          <w:szCs w:val="26"/>
        </w:rPr>
        <w:t xml:space="preserve">4.3 Bayesian Specifications</w:t>
      </w:r>
    </w:p>
    <w:p>
      <w:pPr>
        <w:pStyle w:val="Heading3"/>
        <w:spacing w:before="240" w:after="200"/>
      </w:pPr>
      <w:r>
        <w:rPr>
          <w:rFonts w:ascii="Times New Roman" w:cs="Times New Roman" w:eastAsia="Times New Roman" w:hAnsi="Times New Roman"/>
          <w:b/>
          <w:bCs/>
          <w:sz w:val="24"/>
          <w:szCs w:val="24"/>
        </w:rPr>
        <w:t xml:space="preserve">4.3.1 BVAR with Minnesota Prior</w:t>
      </w:r>
    </w:p>
    <w:p>
      <w:pPr>
        <w:spacing w:after="200" w:line="360"/>
        <w:jc w:val="both"/>
      </w:pPr>
      <w:r>
        <w:rPr>
          <w:rFonts w:ascii="Times New Roman" w:cs="Times New Roman" w:eastAsia="Times New Roman" w:hAnsi="Times New Roman"/>
          <w:sz w:val="24"/>
          <w:szCs w:val="24"/>
        </w:rPr>
        <w:t xml:space="preserve">The Bayesian VAR imposes the Minnesota prior of Litterman (1986), centring coefficients on a random walk (own first-lag prior mean 1, all others 0) with prior variance on coefficient (</w:t>
      </w:r>
      <w:r>
        <w:rPr>
          <w:rFonts w:ascii="Times New Roman" w:cs="Times New Roman" w:eastAsia="Times New Roman" w:hAnsi="Times New Roman"/>
          <w:i/>
          <w:iCs/>
          <w:sz w:val="24"/>
          <w:szCs w:val="24"/>
        </w:rPr>
        <w:t xml:space="preserve">i, j</w:t>
      </w:r>
      <w:r>
        <w:rPr>
          <w:rFonts w:ascii="Times New Roman" w:cs="Times New Roman" w:eastAsia="Times New Roman" w:hAnsi="Times New Roman"/>
          <w:sz w:val="24"/>
          <w:szCs w:val="24"/>
        </w:rPr>
        <w:t xml:space="preserve">) at lag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given by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vertAlign w:val="superscript"/>
        </w:rPr>
        <w:t xml:space="preserve">λ₃</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vertAlign w:val="superscript"/>
        </w:rPr>
        <w:t xml:space="preserve">²</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vertAlign w:val="superscript"/>
        </w:rPr>
        <w:t xml:space="preserve">²</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vertAlign w:val="superscript"/>
        </w:rPr>
        <w:t xml:space="preserve">²</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controls overall tightness,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governs lag decay, and the variance ratio scales cross-equation shrinkage using univariate AR(1) residual variances. Posterior inference proceeds via Gibbs sampling (5,000 draws, 1,000 burn-in), alternating between coefficient draws (matrix normal conditional on covariance) and covariance draws (inverse Wishart conditional on coefficients).</w:t>
      </w:r>
    </w:p>
    <w:p>
      <w:pPr>
        <w:spacing w:after="200" w:line="360"/>
        <w:jc w:val="both"/>
      </w:pPr>
      <w:r>
        <w:rPr>
          <w:rFonts w:ascii="Times New Roman" w:cs="Times New Roman" w:eastAsia="Times New Roman" w:hAnsi="Times New Roman"/>
          <w:sz w:val="24"/>
          <w:szCs w:val="24"/>
        </w:rPr>
        <w:t xml:space="preserve">Hyperparameters are selected via grid search over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{0.05, 0.1, 0.2, 0.5},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 {1.0, 2.0}, and lag order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{1, 2, 3, 4}, evaluated by five-fold rolling time-series cross-validation RMSE on the training sample (with reduced draws for tractability). The shrinkage prior is particularly important given the small effective sample: the most data-demanding variable sets yield approximately 95 training observations, making unrestricted VAR estimation unstable. The prior acts as a regulariser that stabilises coefficient estimates while remaining data-driven through the grid-searched tightness parameter.</w:t>
      </w:r>
    </w:p>
    <w:p>
      <w:pPr>
        <w:spacing w:after="200" w:line="360"/>
        <w:jc w:val="both"/>
      </w:pPr>
      <w:r>
        <w:rPr>
          <w:rFonts w:ascii="Times New Roman" w:cs="Times New Roman" w:eastAsia="Times New Roman" w:hAnsi="Times New Roman"/>
          <w:sz w:val="24"/>
          <w:szCs w:val="24"/>
        </w:rPr>
        <w:t xml:space="preserve">Forecast uncertainty is quantified through the posterior predictive distribution. For each of the 4,000 retained posterior draws, a forecast path is simulated forward by drawing innovations from the corresponding covariance draw. The resulting ensemble integrates over parameter uncertainty and future shock uncertainty simultaneously, with credible intervals constructed as quantiles of the ensemble (2.5th/97.5th for 95%, 10th/90th for 80%).</w:t>
      </w:r>
    </w:p>
    <w:p>
      <w:pPr>
        <w:pStyle w:val="Heading3"/>
        <w:spacing w:before="240" w:after="200"/>
      </w:pPr>
      <w:r>
        <w:rPr>
          <w:rFonts w:ascii="Times New Roman" w:cs="Times New Roman" w:eastAsia="Times New Roman" w:hAnsi="Times New Roman"/>
          <w:b/>
          <w:bCs/>
          <w:sz w:val="24"/>
          <w:szCs w:val="24"/>
        </w:rPr>
        <w:t xml:space="preserve">4.3.2 Dynamic Model Averaging and Selection</w:t>
      </w:r>
    </w:p>
    <w:p>
      <w:pPr>
        <w:spacing w:after="200" w:line="360"/>
        <w:jc w:val="both"/>
      </w:pPr>
      <w:r>
        <w:rPr>
          <w:rFonts w:ascii="Times New Roman" w:cs="Times New Roman" w:eastAsia="Times New Roman" w:hAnsi="Times New Roman"/>
          <w:sz w:val="24"/>
          <w:szCs w:val="24"/>
        </w:rPr>
        <w:t xml:space="preserve">DMA (Raftery et al., 2010; Koop &amp; Korobilis, 2012) maintains time-varying posterior model probabilities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sz w:val="24"/>
          <w:szCs w:val="24"/>
          <w:vertAlign w:val="subscript"/>
        </w:rPr>
        <w:t xml:space="preserve">t|t−1,k</w:t>
      </w:r>
      <w:r>
        <w:rPr>
          <w:rFonts w:ascii="Times New Roman" w:cs="Times New Roman" w:eastAsia="Times New Roman" w:hAnsi="Times New Roman"/>
          <w:sz w:val="24"/>
          <w:szCs w:val="24"/>
        </w:rPr>
        <w:t xml:space="preserve"> for each candidate model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updated via a two-step recursion. The prediction step applies a forgetting factor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 (0, 1] to discount historical performance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sz w:val="24"/>
          <w:szCs w:val="24"/>
          <w:vertAlign w:val="subscript"/>
        </w:rPr>
        <w:t xml:space="preserve">t|t−1,k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sz w:val="24"/>
          <w:szCs w:val="24"/>
          <w:vertAlign w:val="subscript"/>
        </w:rPr>
        <w:t xml:space="preserve">t−1|t−1,k</w:t>
      </w:r>
      <w:r>
        <w:rPr>
          <w:rFonts w:ascii="Times New Roman" w:cs="Times New Roman" w:eastAsia="Times New Roman" w:hAnsi="Times New Roman"/>
          <w:sz w:val="24"/>
          <w:szCs w:val="24"/>
          <w:vertAlign w:val="superscript"/>
        </w:rPr>
        <w:t xml:space="preserve">α</w:t>
      </w:r>
      <w:r>
        <w:rPr>
          <w:rFonts w:ascii="Times New Roman" w:cs="Times New Roman" w:eastAsia="Times New Roman" w:hAnsi="Times New Roman"/>
          <w:sz w:val="24"/>
          <w:szCs w:val="24"/>
        </w:rPr>
        <w:t xml:space="preserve">); the update step incorporates the most recent Gaussian predictive likelihood. Under DMA, the combined forecast is the probability-weighted average across all models; under DMS, only the highest-probability model is used each period.</w:t>
      </w:r>
    </w:p>
    <w:p>
      <w:pPr>
        <w:spacing w:after="200" w:line="360"/>
        <w:jc w:val="both"/>
      </w:pPr>
      <w:r>
        <w:rPr>
          <w:rFonts w:ascii="Times New Roman" w:cs="Times New Roman" w:eastAsia="Times New Roman" w:hAnsi="Times New Roman"/>
          <w:sz w:val="24"/>
          <w:szCs w:val="24"/>
        </w:rPr>
        <w:t xml:space="preserve">The forgetting factor is selected via grid search over {0.90, 0.95, 0.97, 0.99, 1.00} using training-period predictive log-likelihood. A 12-period warmup phase uses equal weights before adaptation begins. The candidate pool comprises the individual model forecasts from all other specifications within each variable set. DMA is particularly well suited to this forecasting problem because it can endogenously shift weight from models suited to accumulation dynamics toward those better suited to crisis or recovery, without requiring explicit regime identification — providing a complementary adaptive mechanism to the MS-VAR’s explicit regime structure.</w:t>
      </w:r>
    </w:p>
    <w:p>
      <w:pPr>
        <w:pStyle w:val="Heading2"/>
        <w:spacing w:before="240" w:after="200"/>
      </w:pPr>
      <w:r>
        <w:rPr>
          <w:rFonts w:ascii="Times New Roman" w:cs="Times New Roman" w:eastAsia="Times New Roman" w:hAnsi="Times New Roman"/>
          <w:b/>
          <w:bCs/>
          <w:sz w:val="26"/>
          <w:szCs w:val="26"/>
        </w:rPr>
        <w:t xml:space="preserve">4.4 A Note on Machine Learning Uncertainty</w:t>
      </w:r>
    </w:p>
    <w:p>
      <w:pPr>
        <w:spacing w:after="200" w:line="360"/>
        <w:jc w:val="both"/>
      </w:pPr>
      <w:r>
        <w:rPr>
          <w:rFonts w:ascii="Times New Roman" w:cs="Times New Roman" w:eastAsia="Times New Roman" w:hAnsi="Times New Roman"/>
          <w:sz w:val="24"/>
          <w:szCs w:val="24"/>
        </w:rPr>
        <w:t xml:space="preserve">An important asymmetry in the comparison concerns uncertainty quantification. The Bayesian and state-space models produce principled prediction intervals: the BVAR integrates over posterior parameter and shock uncertainty, the local level model uses the Kalman forecast variance, and the regime-switching models marginalise over regime sequences. By contrast, XGBoost’s uncertainty estimate is the standard deviation of in-sample training residuals — a quantity that systematically understates true forecast error because gradient-boosted ensembles with 200 trees at depth 4 fit training data tightly. This single scalar is moreover applied identically at all horizons, ignoring the error compounding inherent in recursive multi-step forecasting. The resulting prediction intervals have near-zero empirical coverage, as documented in Section 5. The LSTM produces no uncertainty intervals at all. These limitations should be borne in mind when interpreting probabilistic metrics (CRPS, log score, coverage) for the ML specifications: the comparison is informative for point forecast accuracy but should not be read as evidence that ML models are inherently poorly calibrated. A conformal prediction or quantile regression approach would yield more defensible intervals but is left for future work.</w:t>
      </w:r>
    </w:p>
    <w:p>
      <w:pPr>
        <w:pStyle w:val="Heading2"/>
        <w:spacing w:before="240" w:after="200"/>
      </w:pPr>
      <w:r>
        <w:rPr>
          <w:rFonts w:ascii="Times New Roman" w:cs="Times New Roman" w:eastAsia="Times New Roman" w:hAnsi="Times New Roman"/>
          <w:b/>
          <w:bCs/>
          <w:sz w:val="26"/>
          <w:szCs w:val="26"/>
        </w:rPr>
        <w:t xml:space="preserve">4.5 Evaluation Framework</w:t>
      </w:r>
    </w:p>
    <w:p>
      <w:pPr>
        <w:pStyle w:val="Heading3"/>
        <w:spacing w:before="240" w:after="200"/>
      </w:pPr>
      <w:r>
        <w:rPr>
          <w:rFonts w:ascii="Times New Roman" w:cs="Times New Roman" w:eastAsia="Times New Roman" w:hAnsi="Times New Roman"/>
          <w:b/>
          <w:bCs/>
          <w:sz w:val="24"/>
          <w:szCs w:val="24"/>
        </w:rPr>
        <w:t xml:space="preserve">4.5.1 Rolling-Origin Backtest</w:t>
      </w:r>
    </w:p>
    <w:p>
      <w:pPr>
        <w:spacing w:after="200" w:line="360"/>
        <w:jc w:val="both"/>
      </w:pPr>
      <w:r>
        <w:rPr>
          <w:rFonts w:ascii="Times New Roman" w:cs="Times New Roman" w:eastAsia="Times New Roman" w:hAnsi="Times New Roman"/>
          <w:sz w:val="24"/>
          <w:szCs w:val="24"/>
        </w:rPr>
        <w:t xml:space="preserve">All models are evaluated using a rolling-origin backtest beginning at January 2020 and advancing monthly through the end of the sample. At each origin, models forecast 1, 3, 6, and 12 months ahead using an expanding estimation window. Models are refitted every 12 origins to manage computational cost for the BVAR and MS-VAR specifications; between refitting dates, the most recently estimated model is applied to updated history. Exogenous variables at future horizons are projected via naïve extrapolation (last value carried forward) to avoid confounding the reserve model’s evaluation with the accuracy of auxiliary models.</w:t>
      </w:r>
    </w:p>
    <w:p>
      <w:pPr>
        <w:spacing w:after="200" w:line="360"/>
        <w:jc w:val="both"/>
      </w:pPr>
      <w:r>
        <w:rPr>
          <w:rFonts w:ascii="Times New Roman" w:cs="Times New Roman" w:eastAsia="Times New Roman" w:hAnsi="Times New Roman"/>
          <w:sz w:val="24"/>
          <w:szCs w:val="24"/>
        </w:rPr>
        <w:t xml:space="preserve">Forecast origins are classified into two evaluation periods: the crisis-era validation window (January 2020–December 2022, encompassing COVID-19 and sovereign default) and the post-default test period (January 2023 onward, covering IMF-supervised recovery). This separation ensures that crisis-period performance, where forecast failures are most consequential for policy, is reported separately from the recovery period, where momentum-driven dynamics favour extrapolative methods.</w:t>
      </w:r>
    </w:p>
    <w:p>
      <w:pPr>
        <w:pStyle w:val="Heading3"/>
        <w:spacing w:before="240" w:after="200"/>
      </w:pPr>
      <w:r>
        <w:rPr>
          <w:rFonts w:ascii="Times New Roman" w:cs="Times New Roman" w:eastAsia="Times New Roman" w:hAnsi="Times New Roman"/>
          <w:b/>
          <w:bCs/>
          <w:sz w:val="24"/>
          <w:szCs w:val="24"/>
        </w:rPr>
        <w:t xml:space="preserve">4.5.2 Accuracy Metrics and Policy Loss</w:t>
      </w:r>
    </w:p>
    <w:p>
      <w:pPr>
        <w:spacing w:after="200" w:line="360"/>
        <w:jc w:val="both"/>
      </w:pPr>
      <w:r>
        <w:rPr>
          <w:rFonts w:ascii="Times New Roman" w:cs="Times New Roman" w:eastAsia="Times New Roman" w:hAnsi="Times New Roman"/>
          <w:sz w:val="24"/>
          <w:szCs w:val="24"/>
        </w:rPr>
        <w:t xml:space="preserve">Point forecast accuracy is assessed via RMSE, MAE, MAPE, sMAPE, and the Mean Absolute Scaled Error (MASE) of Hyndman and Koehler (2006), which normalises errors against the in-sample naïve forecast error and avoids the division-by-near-zero problem when reserves approach their crisis trough. An asymmetric policy loss function penalises under-forecasting of reserve depletion (forecasting higher reserves than materialise) at twice the rate of over-forecasting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u</w:t>
      </w:r>
      <w:r>
        <w:rPr>
          <w:rFonts w:ascii="Times New Roman" w:cs="Times New Roman" w:eastAsia="Times New Roman" w:hAnsi="Times New Roman"/>
          <w:sz w:val="24"/>
          <w:szCs w:val="24"/>
        </w:rPr>
        <w:t xml:space="preserve"> = 2,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o</w:t>
      </w:r>
      <w:r>
        <w:rPr>
          <w:rFonts w:ascii="Times New Roman" w:cs="Times New Roman" w:eastAsia="Times New Roman" w:hAnsi="Times New Roman"/>
          <w:sz w:val="24"/>
          <w:szCs w:val="24"/>
        </w:rPr>
        <w:t xml:space="preserve"> = 1), reflecting the precautionary principle in reserve management: the cost of being caught with insufficient reserves far exceeds the opportunity cost of holding marginally excess reserves.</w:t>
      </w:r>
    </w:p>
    <w:p>
      <w:pPr>
        <w:pStyle w:val="Heading3"/>
        <w:spacing w:before="240" w:after="200"/>
      </w:pPr>
      <w:r>
        <w:rPr>
          <w:rFonts w:ascii="Times New Roman" w:cs="Times New Roman" w:eastAsia="Times New Roman" w:hAnsi="Times New Roman"/>
          <w:b/>
          <w:bCs/>
          <w:sz w:val="24"/>
          <w:szCs w:val="24"/>
        </w:rPr>
        <w:t xml:space="preserve">4.5.3 Probabilistic Evaluation</w:t>
      </w:r>
    </w:p>
    <w:p>
      <w:pPr>
        <w:spacing w:after="200" w:line="360"/>
        <w:jc w:val="both"/>
      </w:pPr>
      <w:r>
        <w:rPr>
          <w:rFonts w:ascii="Times New Roman" w:cs="Times New Roman" w:eastAsia="Times New Roman" w:hAnsi="Times New Roman"/>
          <w:sz w:val="24"/>
          <w:szCs w:val="24"/>
        </w:rPr>
        <w:t xml:space="preserve">Models producing prediction intervals are assessed via the Gaussian CRPS (which generalises MAE to probabilistic forecasts), the logarithmic score (a strictly proper scoring rule that penalises overconfidence), and empirical coverage rates at 80% and 95% nominal levels. Probability Integral Transform (PIT) histograms provide a visual diagnostic of calibration, with departures from uniformity assessed via the Kolmogorov-Smirnov and Berkowitz tests.</w:t>
      </w:r>
    </w:p>
    <w:p>
      <w:pPr>
        <w:pStyle w:val="Heading3"/>
        <w:spacing w:before="240" w:after="200"/>
      </w:pPr>
      <w:r>
        <w:rPr>
          <w:rFonts w:ascii="Times New Roman" w:cs="Times New Roman" w:eastAsia="Times New Roman" w:hAnsi="Times New Roman"/>
          <w:b/>
          <w:bCs/>
          <w:sz w:val="24"/>
          <w:szCs w:val="24"/>
        </w:rPr>
        <w:t xml:space="preserve">4.5.4 Statistical Comparison</w:t>
      </w:r>
    </w:p>
    <w:p>
      <w:pPr>
        <w:spacing w:after="200" w:line="360"/>
        <w:jc w:val="both"/>
      </w:pPr>
      <w:r>
        <w:rPr>
          <w:rFonts w:ascii="Times New Roman" w:cs="Times New Roman" w:eastAsia="Times New Roman" w:hAnsi="Times New Roman"/>
          <w:sz w:val="24"/>
          <w:szCs w:val="24"/>
        </w:rPr>
        <w:t xml:space="preserve">Pairwise comparisons use the Diebold and Mariano (1995) test with the Harvey, Leybourne, and Newbold (1997) small-sample correction, which adjusts for autocorrelation in the loss differential — important given evaluation samples of 24–35 observations. Forecast encompassing tests and the Fair-Shiller regression assess whether information in one model’s forecast is subsumed by or incremental to another’s. The Model Confidence Set (Hansen et al., 2011) provides a multiple-comparison framework that identifies the smallest set of models containing the best performer at significance level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 0.25, using the range statistic with block bootstrap. The MCS is computed separately by horizon and sample split, yielding regime-specific characterisations of model dominance.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2026-02-23T08:45:25.229Z</dcterms:created>
  <dcterms:modified xsi:type="dcterms:W3CDTF">2026-02-23T08:45:25.230Z</dcterms:modified>
</cp:coreProperties>
</file>

<file path=docProps/custom.xml><?xml version="1.0" encoding="utf-8"?>
<Properties xmlns="http://schemas.openxmlformats.org/officeDocument/2006/custom-properties" xmlns:vt="http://schemas.openxmlformats.org/officeDocument/2006/docPropsVTypes"/>
</file>