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551D3" w:rsidRDefault="00954CF2">
      <w:pPr>
        <w:rPr>
          <w:rtl/>
        </w:rPr>
      </w:pPr>
      <w:r>
        <w:rPr>
          <w:noProof/>
          <w:bdr w:val="none" w:sz="0" w:space="0" w:color="auto" w:frame="1"/>
        </w:rPr>
        <w:drawing>
          <wp:anchor distT="0" distB="0" distL="114300" distR="114300" simplePos="0" relativeHeight="251658240" behindDoc="0" locked="0" layoutInCell="1" allowOverlap="1" wp14:anchorId="38EFC658">
            <wp:simplePos x="0" y="0"/>
            <wp:positionH relativeFrom="column">
              <wp:posOffset>2107142</wp:posOffset>
            </wp:positionH>
            <wp:positionV relativeFrom="paragraph">
              <wp:posOffset>0</wp:posOffset>
            </wp:positionV>
            <wp:extent cx="1943735" cy="1943735"/>
            <wp:effectExtent l="0" t="0" r="0" b="0"/>
            <wp:wrapSquare wrapText="bothSides"/>
            <wp:docPr id="1342439956" name="Picture 1" descr="Sakkary |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kkary | Cai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735" cy="1943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1D3" w:rsidRDefault="000551D3">
      <w:pPr>
        <w:rPr>
          <w:rtl/>
        </w:rPr>
      </w:pPr>
    </w:p>
    <w:p w:rsidR="000551D3" w:rsidRDefault="000551D3">
      <w:pPr>
        <w:rPr>
          <w:rtl/>
        </w:rPr>
      </w:pPr>
    </w:p>
    <w:p w:rsidR="000551D3" w:rsidRDefault="000551D3">
      <w:pPr>
        <w:rPr>
          <w:rtl/>
        </w:rPr>
      </w:pPr>
    </w:p>
    <w:p w:rsidR="000551D3" w:rsidRDefault="00954CF2">
      <w:pPr>
        <w:rPr>
          <w:rtl/>
        </w:rPr>
      </w:pPr>
      <w:r>
        <w:rPr>
          <w:bdr w:val="none" w:sz="0" w:space="0" w:color="auto" w:frame="1"/>
        </w:rPr>
        <w:fldChar w:fldCharType="begin"/>
      </w:r>
      <w:r>
        <w:rPr>
          <w:bdr w:val="none" w:sz="0" w:space="0" w:color="auto" w:frame="1"/>
        </w:rPr>
        <w:instrText xml:space="preserve"> INCLUDEPICTURE "https://lh7-rt.googleusercontent.com/docsz/AD_4nXfveYZkxSUnMpHLSPW0a3DCB5yYmTYl9F4BWtivMe1sq8kfjul10fwALru7mlVfoF3rVeIuDLmMFREqbiJq_SAyvt27azAkR_3Z-EAXQKVVOGno8gOuOtYiDiaJPGTPfBZpIFLMU_XNG9Mf0Zx1nJR3q7zuZ_xgoL5ofDTJn-Xmf1uc6J9VF_0?key=V3TzX6qjzdcWNJCMIxq99_2Y" \* MERGEFORMATINET </w:instrText>
      </w:r>
      <w:r>
        <w:rPr>
          <w:bdr w:val="none" w:sz="0" w:space="0" w:color="auto" w:frame="1"/>
        </w:rPr>
        <w:fldChar w:fldCharType="separate"/>
      </w:r>
      <w:r>
        <w:rPr>
          <w:bdr w:val="none" w:sz="0" w:space="0" w:color="auto" w:frame="1"/>
        </w:rPr>
        <w:fldChar w:fldCharType="end"/>
      </w:r>
    </w:p>
    <w:p w:rsidR="000551D3" w:rsidRDefault="000551D3">
      <w:pPr>
        <w:rPr>
          <w:rtl/>
        </w:rPr>
      </w:pPr>
    </w:p>
    <w:p w:rsidR="000551D3" w:rsidRDefault="000551D3">
      <w:pPr>
        <w:rPr>
          <w:rtl/>
        </w:rPr>
      </w:pPr>
    </w:p>
    <w:p w:rsidR="000551D3" w:rsidRDefault="000551D3">
      <w:pPr>
        <w:rPr>
          <w:rtl/>
        </w:rPr>
      </w:pPr>
    </w:p>
    <w:p w:rsidR="000551D3" w:rsidRDefault="000551D3">
      <w:pPr>
        <w:rPr>
          <w:rtl/>
        </w:rPr>
      </w:pPr>
    </w:p>
    <w:p w:rsidR="000551D3" w:rsidRDefault="000551D3">
      <w:pPr>
        <w:rPr>
          <w:rtl/>
        </w:rPr>
      </w:pPr>
    </w:p>
    <w:p w:rsidR="00B22328" w:rsidRDefault="00B22328">
      <w:pPr>
        <w:rPr>
          <w:rtl/>
        </w:rPr>
      </w:pPr>
    </w:p>
    <w:p w:rsidR="000551D3" w:rsidRDefault="000551D3">
      <w:pPr>
        <w:rPr>
          <w:rtl/>
        </w:rPr>
      </w:pPr>
    </w:p>
    <w:p w:rsidR="000551D3" w:rsidRDefault="00954CF2" w:rsidP="00B22328">
      <w:pPr>
        <w:jc w:val="center"/>
      </w:pPr>
      <w:r w:rsidRPr="00954CF2">
        <w:rPr>
          <w:color w:val="666666"/>
          <w:sz w:val="40"/>
          <w:szCs w:val="40"/>
        </w:rPr>
        <w:t>One day workshop</w:t>
      </w:r>
    </w:p>
    <w:tbl>
      <w:tblPr>
        <w:tblStyle w:val="a"/>
        <w:tblW w:w="10017" w:type="dxa"/>
        <w:tblLayout w:type="fixed"/>
        <w:tblLook w:val="0600" w:firstRow="0" w:lastRow="0" w:firstColumn="0" w:lastColumn="0" w:noHBand="1" w:noVBand="1"/>
      </w:tblPr>
      <w:tblGrid>
        <w:gridCol w:w="5047"/>
        <w:gridCol w:w="4658"/>
        <w:gridCol w:w="312"/>
      </w:tblGrid>
      <w:tr w:rsidR="00971379" w:rsidTr="00E96AAC">
        <w:trPr>
          <w:trHeight w:val="922"/>
        </w:trPr>
        <w:tc>
          <w:tcPr>
            <w:tcW w:w="5047" w:type="dxa"/>
            <w:tcBorders>
              <w:top w:val="nil"/>
              <w:left w:val="nil"/>
              <w:bottom w:val="single" w:sz="4" w:space="0" w:color="942092"/>
              <w:right w:val="nil"/>
            </w:tcBorders>
            <w:shd w:val="clear" w:color="auto" w:fill="FFFFFF" w:themeFill="background1"/>
            <w:tcMar>
              <w:top w:w="72" w:type="dxa"/>
              <w:left w:w="72" w:type="dxa"/>
              <w:bottom w:w="72" w:type="dxa"/>
              <w:right w:w="72" w:type="dxa"/>
            </w:tcMar>
          </w:tcPr>
          <w:p w:rsidR="00B22328" w:rsidRDefault="00B22328" w:rsidP="00E96AAC">
            <w:pPr>
              <w:spacing w:line="240" w:lineRule="auto"/>
              <w:ind w:firstLine="720"/>
              <w:rPr>
                <w:b/>
                <w:color w:val="424242"/>
                <w:sz w:val="24"/>
                <w:szCs w:val="24"/>
                <w:rtl/>
              </w:rPr>
            </w:pPr>
          </w:p>
          <w:p w:rsidR="00971379" w:rsidRPr="000551D3" w:rsidRDefault="00000000" w:rsidP="00B22328">
            <w:pPr>
              <w:spacing w:line="240" w:lineRule="auto"/>
              <w:rPr>
                <w:b/>
                <w:color w:val="424242"/>
                <w:sz w:val="24"/>
                <w:szCs w:val="24"/>
              </w:rPr>
            </w:pPr>
            <w:r>
              <w:rPr>
                <w:b/>
                <w:color w:val="424242"/>
                <w:sz w:val="24"/>
                <w:szCs w:val="24"/>
              </w:rPr>
              <w:t>Author:</w:t>
            </w:r>
            <w:r>
              <w:rPr>
                <w:color w:val="424242"/>
                <w:sz w:val="24"/>
                <w:szCs w:val="24"/>
              </w:rPr>
              <w:t xml:space="preserve"> Project Manager</w:t>
            </w:r>
          </w:p>
          <w:p w:rsidR="00971379" w:rsidRDefault="00000000">
            <w:pPr>
              <w:spacing w:line="240" w:lineRule="auto"/>
              <w:rPr>
                <w:color w:val="424242"/>
                <w:sz w:val="24"/>
                <w:szCs w:val="24"/>
              </w:rPr>
            </w:pPr>
            <w:r>
              <w:rPr>
                <w:b/>
                <w:color w:val="424242"/>
                <w:sz w:val="24"/>
                <w:szCs w:val="24"/>
              </w:rPr>
              <w:t>Status:</w:t>
            </w:r>
            <w:r>
              <w:rPr>
                <w:color w:val="424242"/>
                <w:sz w:val="24"/>
                <w:szCs w:val="24"/>
              </w:rPr>
              <w:t xml:space="preserve"> Final </w:t>
            </w:r>
          </w:p>
        </w:tc>
        <w:tc>
          <w:tcPr>
            <w:tcW w:w="4658" w:type="dxa"/>
            <w:tcBorders>
              <w:top w:val="nil"/>
              <w:left w:val="nil"/>
              <w:bottom w:val="single" w:sz="4" w:space="0" w:color="942092"/>
              <w:right w:val="nil"/>
            </w:tcBorders>
            <w:shd w:val="clear" w:color="auto" w:fill="auto"/>
            <w:tcMar>
              <w:top w:w="72" w:type="dxa"/>
              <w:left w:w="72" w:type="dxa"/>
              <w:bottom w:w="72" w:type="dxa"/>
              <w:right w:w="72" w:type="dxa"/>
            </w:tcMar>
          </w:tcPr>
          <w:p w:rsidR="00B22328" w:rsidRDefault="00B22328">
            <w:pPr>
              <w:spacing w:line="240" w:lineRule="auto"/>
              <w:rPr>
                <w:b/>
                <w:color w:val="424242"/>
                <w:sz w:val="24"/>
                <w:szCs w:val="24"/>
                <w:rtl/>
              </w:rPr>
            </w:pPr>
          </w:p>
          <w:p w:rsidR="00971379" w:rsidRDefault="00000000" w:rsidP="00B22328">
            <w:pPr>
              <w:spacing w:line="240" w:lineRule="auto"/>
              <w:rPr>
                <w:color w:val="424242"/>
                <w:sz w:val="24"/>
                <w:szCs w:val="24"/>
              </w:rPr>
            </w:pPr>
            <w:r>
              <w:rPr>
                <w:b/>
                <w:color w:val="424242"/>
                <w:sz w:val="24"/>
                <w:szCs w:val="24"/>
              </w:rPr>
              <w:t xml:space="preserve">Created: </w:t>
            </w:r>
            <w:r w:rsidR="00B22328" w:rsidRPr="00B22328">
              <w:rPr>
                <w:color w:val="424242"/>
                <w:sz w:val="24"/>
                <w:szCs w:val="24"/>
                <w:lang w:val="en-US"/>
              </w:rPr>
              <w:t xml:space="preserve">November </w:t>
            </w:r>
            <w:r w:rsidR="00954CF2">
              <w:rPr>
                <w:color w:val="424242"/>
                <w:sz w:val="24"/>
                <w:szCs w:val="24"/>
                <w:lang w:val="en-US"/>
              </w:rPr>
              <w:t>12</w:t>
            </w:r>
          </w:p>
          <w:p w:rsidR="00971379" w:rsidRDefault="00000000" w:rsidP="00B22328">
            <w:pPr>
              <w:spacing w:line="240" w:lineRule="auto"/>
              <w:rPr>
                <w:color w:val="424242"/>
                <w:sz w:val="24"/>
                <w:szCs w:val="24"/>
                <w:rtl/>
              </w:rPr>
            </w:pPr>
            <w:r>
              <w:rPr>
                <w:b/>
                <w:color w:val="424242"/>
                <w:sz w:val="24"/>
                <w:szCs w:val="24"/>
              </w:rPr>
              <w:t>Updated:</w:t>
            </w:r>
            <w:r>
              <w:rPr>
                <w:color w:val="424242"/>
                <w:sz w:val="24"/>
                <w:szCs w:val="24"/>
              </w:rPr>
              <w:t xml:space="preserve"> </w:t>
            </w:r>
            <w:r w:rsidR="00B22328" w:rsidRPr="00B22328">
              <w:rPr>
                <w:color w:val="424242"/>
                <w:sz w:val="24"/>
                <w:szCs w:val="24"/>
                <w:lang w:val="en-US"/>
              </w:rPr>
              <w:t>November 15</w:t>
            </w:r>
          </w:p>
        </w:tc>
        <w:tc>
          <w:tcPr>
            <w:tcW w:w="312" w:type="dxa"/>
            <w:tcBorders>
              <w:top w:val="nil"/>
              <w:left w:val="nil"/>
              <w:bottom w:val="single" w:sz="4" w:space="0" w:color="942092"/>
              <w:right w:val="nil"/>
            </w:tcBorders>
            <w:shd w:val="clear" w:color="auto" w:fill="auto"/>
            <w:tcMar>
              <w:top w:w="72" w:type="dxa"/>
              <w:left w:w="72" w:type="dxa"/>
              <w:bottom w:w="72" w:type="dxa"/>
              <w:right w:w="72" w:type="dxa"/>
            </w:tcMar>
          </w:tcPr>
          <w:p w:rsidR="00971379" w:rsidRDefault="00971379">
            <w:pPr>
              <w:spacing w:line="240" w:lineRule="auto"/>
              <w:rPr>
                <w:color w:val="424242"/>
                <w:sz w:val="18"/>
                <w:szCs w:val="18"/>
              </w:rPr>
            </w:pPr>
          </w:p>
        </w:tc>
      </w:tr>
    </w:tbl>
    <w:p w:rsidR="00971379" w:rsidRPr="00954CF2" w:rsidRDefault="00000000">
      <w:pPr>
        <w:pStyle w:val="Heading1"/>
        <w:keepNext w:val="0"/>
        <w:keepLines w:val="0"/>
        <w:widowControl w:val="0"/>
        <w:spacing w:before="480" w:after="240"/>
        <w:rPr>
          <w:color w:val="1F497D" w:themeColor="text2"/>
          <w:sz w:val="32"/>
          <w:szCs w:val="32"/>
        </w:rPr>
      </w:pPr>
      <w:bookmarkStart w:id="0" w:name="_1fob9te" w:colFirst="0" w:colLast="0"/>
      <w:bookmarkEnd w:id="0"/>
      <w:r w:rsidRPr="00954CF2">
        <w:rPr>
          <w:color w:val="1F497D" w:themeColor="text2"/>
          <w:sz w:val="32"/>
          <w:szCs w:val="32"/>
        </w:rPr>
        <w:t>Objective</w:t>
      </w:r>
    </w:p>
    <w:p w:rsidR="00954CF2" w:rsidRPr="00954CF2" w:rsidRDefault="00954CF2" w:rsidP="00954CF2">
      <w:pPr>
        <w:widowControl w:val="0"/>
        <w:rPr>
          <w:color w:val="434343"/>
          <w:lang w:val="en-US"/>
        </w:rPr>
      </w:pPr>
      <w:r w:rsidRPr="00954CF2">
        <w:rPr>
          <w:color w:val="434343"/>
          <w:lang w:val="en-US"/>
        </w:rPr>
        <w:t>The objective of this document is to outline the risks to the new workshop project for BMW users and the plans to mitigate those risks.</w:t>
      </w:r>
    </w:p>
    <w:p w:rsidR="00971379" w:rsidRPr="00E96AAC" w:rsidRDefault="00971379">
      <w:pPr>
        <w:widowControl w:val="0"/>
        <w:rPr>
          <w:color w:val="942092"/>
          <w:sz w:val="32"/>
          <w:szCs w:val="32"/>
          <w:lang w:val="en-US"/>
        </w:rPr>
      </w:pPr>
    </w:p>
    <w:p w:rsidR="00971379" w:rsidRPr="00954CF2" w:rsidRDefault="00000000">
      <w:pPr>
        <w:widowControl w:val="0"/>
        <w:rPr>
          <w:color w:val="1F497D" w:themeColor="text2"/>
          <w:sz w:val="32"/>
          <w:szCs w:val="32"/>
        </w:rPr>
      </w:pPr>
      <w:r w:rsidRPr="00954CF2">
        <w:rPr>
          <w:color w:val="1F497D" w:themeColor="text2"/>
          <w:sz w:val="32"/>
          <w:szCs w:val="32"/>
        </w:rPr>
        <w:t>Executive Summary</w:t>
      </w:r>
    </w:p>
    <w:p w:rsidR="00E96AAC" w:rsidRPr="000E033F" w:rsidRDefault="00954CF2" w:rsidP="00954CF2">
      <w:pPr>
        <w:widowControl w:val="0"/>
        <w:rPr>
          <w:color w:val="434343"/>
          <w:lang w:val="en-US"/>
        </w:rPr>
      </w:pPr>
      <w:r w:rsidRPr="00954CF2">
        <w:rPr>
          <w:color w:val="434343"/>
          <w:lang w:val="en-US"/>
        </w:rPr>
        <w:t>Al-</w:t>
      </w:r>
      <w:proofErr w:type="spellStart"/>
      <w:r w:rsidRPr="00954CF2">
        <w:rPr>
          <w:color w:val="434343"/>
          <w:lang w:val="en-US"/>
        </w:rPr>
        <w:t>Sakkary</w:t>
      </w:r>
      <w:proofErr w:type="spellEnd"/>
      <w:r w:rsidRPr="00954CF2">
        <w:rPr>
          <w:color w:val="434343"/>
          <w:lang w:val="en-US"/>
        </w:rPr>
        <w:t xml:space="preserve"> Motors aims to establish a new workshop offering maintenance services to normal BMW users. The workshop will operate by the end of 2025, utilizing available materials to reduce costs and meet customer demand. The project includes the construction of the workshop, recruitment and training of two technical teams, and securing a material supply contract.</w:t>
      </w:r>
    </w:p>
    <w:p w:rsidR="00971379" w:rsidRDefault="00971379">
      <w:pPr>
        <w:widowControl w:val="0"/>
        <w:rPr>
          <w:b/>
          <w:color w:val="434343"/>
        </w:rPr>
      </w:pPr>
    </w:p>
    <w:p w:rsidR="00971379" w:rsidRDefault="00000000" w:rsidP="00954CF2">
      <w:pPr>
        <w:widowControl w:val="0"/>
        <w:rPr>
          <w:b/>
          <w:color w:val="434343"/>
        </w:rPr>
      </w:pPr>
      <w:r>
        <w:rPr>
          <w:b/>
          <w:color w:val="434343"/>
        </w:rPr>
        <w:t xml:space="preserve">RISK TYPE ONE: </w:t>
      </w:r>
      <w:r w:rsidR="00954CF2" w:rsidRPr="00954CF2">
        <w:rPr>
          <w:b/>
          <w:bCs/>
          <w:color w:val="434343"/>
          <w:lang w:val="en-US"/>
        </w:rPr>
        <w:t>Financial Risks</w:t>
      </w:r>
    </w:p>
    <w:p w:rsidR="00971379" w:rsidRDefault="00971379">
      <w:pPr>
        <w:widowControl w:val="0"/>
        <w:rPr>
          <w:b/>
          <w:color w:val="434343"/>
        </w:rPr>
      </w:pPr>
    </w:p>
    <w:tbl>
      <w:tblPr>
        <w:tblStyle w:val="a0"/>
        <w:tblW w:w="8636"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3210"/>
        <w:gridCol w:w="1620"/>
        <w:gridCol w:w="3806"/>
      </w:tblGrid>
      <w:tr w:rsidR="00971379">
        <w:trPr>
          <w:trHeight w:val="378"/>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Scenario</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Risk to Project</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Mitigation Plan</w:t>
            </w:r>
          </w:p>
        </w:tc>
      </w:tr>
      <w:tr w:rsidR="00971379">
        <w:trPr>
          <w:trHeight w:val="885"/>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highlight w:val="white"/>
                <w:lang w:val="en-US"/>
              </w:rPr>
              <w:t>Workshop construction exceeds budget</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E033F">
            <w:pPr>
              <w:widowControl w:val="0"/>
              <w:spacing w:line="240" w:lineRule="auto"/>
              <w:rPr>
                <w:b/>
                <w:color w:val="6AA84F"/>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highlight w:val="white"/>
                <w:lang w:val="en-US"/>
              </w:rPr>
              <w:t>Monitor contractor costs, obtain multiple quotes, and adjust the scope if necessary</w:t>
            </w:r>
          </w:p>
        </w:tc>
      </w:tr>
      <w:tr w:rsidR="00971379">
        <w:trPr>
          <w:trHeight w:val="783"/>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highlight w:val="white"/>
                <w:lang w:val="en-US"/>
              </w:rPr>
              <w:t>Equipment costs increase unexpectedly</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rPr>
                <w:highlight w:val="white"/>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highlight w:val="white"/>
                <w:lang w:val="en-US"/>
              </w:rPr>
              <w:t>Set contingency funds and negotiate favorable terms with suppliers</w:t>
            </w:r>
          </w:p>
        </w:tc>
      </w:tr>
      <w:tr w:rsidR="00971379">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highlight w:val="white"/>
                <w:lang w:val="en-US"/>
              </w:rPr>
              <w:t xml:space="preserve">Recruitment and training costs </w:t>
            </w:r>
            <w:r w:rsidRPr="00954CF2">
              <w:rPr>
                <w:highlight w:val="white"/>
                <w:lang w:val="en-US"/>
              </w:rPr>
              <w:lastRenderedPageBreak/>
              <w:t>overrun</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Pr="000E033F" w:rsidRDefault="000E033F">
            <w:pPr>
              <w:widowControl w:val="0"/>
              <w:spacing w:line="240" w:lineRule="auto"/>
              <w:rPr>
                <w:highlight w:val="white"/>
                <w:lang w:val="en-US"/>
              </w:rPr>
            </w:pPr>
            <w:r>
              <w:rPr>
                <w:b/>
                <w:color w:val="6AA84F"/>
              </w:rPr>
              <w:lastRenderedPageBreak/>
              <w:t>Low</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highlight w:val="white"/>
                <w:lang w:val="en-US"/>
              </w:rPr>
              <w:t xml:space="preserve">Plan for realistic training costs </w:t>
            </w:r>
            <w:r w:rsidRPr="00954CF2">
              <w:rPr>
                <w:b/>
                <w:highlight w:val="white"/>
                <w:lang w:val="en-US"/>
              </w:rPr>
              <w:lastRenderedPageBreak/>
              <w:t>and assess teams’ capabilities beforehand</w:t>
            </w:r>
          </w:p>
        </w:tc>
      </w:tr>
      <w:tr w:rsidR="000E033F">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Pr="000E033F" w:rsidRDefault="00954CF2" w:rsidP="00954CF2">
            <w:pPr>
              <w:widowControl w:val="0"/>
              <w:spacing w:line="240" w:lineRule="auto"/>
              <w:rPr>
                <w:highlight w:val="white"/>
                <w:lang w:val="en-US"/>
              </w:rPr>
            </w:pPr>
            <w:r w:rsidRPr="00954CF2">
              <w:rPr>
                <w:highlight w:val="white"/>
                <w:lang w:val="en-US"/>
              </w:rPr>
              <w:lastRenderedPageBreak/>
              <w:t>Material supplier increases prices</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Default="000E033F">
            <w:pPr>
              <w:widowControl w:val="0"/>
              <w:spacing w:line="240" w:lineRule="auto"/>
              <w:rPr>
                <w:b/>
                <w:color w:val="6AA84F"/>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Pr="000E033F" w:rsidRDefault="00954CF2" w:rsidP="00954CF2">
            <w:pPr>
              <w:widowControl w:val="0"/>
              <w:spacing w:line="240" w:lineRule="auto"/>
              <w:rPr>
                <w:b/>
                <w:highlight w:val="white"/>
                <w:lang w:val="en-US"/>
              </w:rPr>
            </w:pPr>
            <w:r w:rsidRPr="00954CF2">
              <w:rPr>
                <w:b/>
                <w:highlight w:val="white"/>
                <w:lang w:val="en-US"/>
              </w:rPr>
              <w:t>Negotiate long-term contracts with fixed prices or identify alternative suppliers</w:t>
            </w:r>
          </w:p>
        </w:tc>
      </w:tr>
    </w:tbl>
    <w:p w:rsidR="00971379" w:rsidRPr="002E69E3" w:rsidRDefault="00971379" w:rsidP="002E69E3">
      <w:pPr>
        <w:bidi/>
        <w:rPr>
          <w:sz w:val="28"/>
          <w:szCs w:val="28"/>
          <w:rtl/>
          <w:lang w:val="en-US"/>
        </w:rPr>
      </w:pPr>
    </w:p>
    <w:p w:rsidR="00971379" w:rsidRDefault="00971379">
      <w:pPr>
        <w:rPr>
          <w:sz w:val="28"/>
          <w:szCs w:val="28"/>
        </w:rPr>
      </w:pPr>
    </w:p>
    <w:p w:rsidR="00971379" w:rsidRDefault="00000000" w:rsidP="00954CF2">
      <w:pPr>
        <w:widowControl w:val="0"/>
        <w:rPr>
          <w:b/>
          <w:color w:val="434343"/>
        </w:rPr>
      </w:pPr>
      <w:r>
        <w:rPr>
          <w:b/>
          <w:color w:val="434343"/>
        </w:rPr>
        <w:t xml:space="preserve">RISK TYPE TWO: </w:t>
      </w:r>
      <w:r w:rsidR="00954CF2" w:rsidRPr="00954CF2">
        <w:rPr>
          <w:b/>
          <w:bCs/>
          <w:color w:val="434343"/>
          <w:lang w:val="en-US"/>
        </w:rPr>
        <w:t>Timeline Risks</w:t>
      </w:r>
    </w:p>
    <w:p w:rsidR="00971379" w:rsidRDefault="00000000">
      <w:pPr>
        <w:widowControl w:val="0"/>
        <w:rPr>
          <w:b/>
          <w:color w:val="434343"/>
        </w:rPr>
      </w:pPr>
      <w:r>
        <w:rPr>
          <w:b/>
          <w:color w:val="434343"/>
        </w:rPr>
        <w:t xml:space="preserve"> </w:t>
      </w:r>
    </w:p>
    <w:tbl>
      <w:tblPr>
        <w:tblStyle w:val="a1"/>
        <w:tblW w:w="8636"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3255"/>
        <w:gridCol w:w="1575"/>
        <w:gridCol w:w="3806"/>
      </w:tblGrid>
      <w:tr w:rsidR="00971379">
        <w:trPr>
          <w:trHeight w:val="378"/>
        </w:trPr>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Scenario</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Risk to project</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jc w:val="center"/>
              <w:rPr>
                <w:b/>
                <w:color w:val="434343"/>
              </w:rPr>
            </w:pPr>
            <w:r>
              <w:rPr>
                <w:b/>
                <w:color w:val="434343"/>
              </w:rPr>
              <w:t>Mitigation Plan</w:t>
            </w:r>
          </w:p>
        </w:tc>
      </w:tr>
      <w:tr w:rsidR="00971379">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lang w:val="en-US"/>
              </w:rPr>
              <w:t>Workshop construction delays due to contractor issues</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E033F">
            <w:pPr>
              <w:widowControl w:val="0"/>
              <w:spacing w:line="240" w:lineRule="auto"/>
            </w:pPr>
            <w:r>
              <w:rPr>
                <w:b/>
                <w:bCs/>
                <w:color w:val="E69138"/>
              </w:rPr>
              <w:t>High</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highlight w:val="white"/>
                <w:lang w:val="en-US"/>
              </w:rPr>
              <w:t>Ensure a strong contract with milestones and penalties for delays</w:t>
            </w:r>
          </w:p>
        </w:tc>
      </w:tr>
      <w:tr w:rsidR="00971379">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lang w:val="en-US"/>
              </w:rPr>
              <w:t>Equipment delivery is late</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lang w:val="en-US"/>
              </w:rPr>
              <w:t>Place orders early and maintain strong communication with suppliers</w:t>
            </w:r>
          </w:p>
        </w:tc>
      </w:tr>
      <w:tr w:rsidR="00971379">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highlight w:val="white"/>
                <w:lang w:val="en-US"/>
              </w:rPr>
              <w:t>Recruitment takes longer than expected</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000000">
            <w:pPr>
              <w:widowControl w:val="0"/>
              <w:spacing w:line="240" w:lineRule="auto"/>
              <w:rPr>
                <w:color w:val="E69138"/>
                <w:highlight w:val="white"/>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971379" w:rsidRDefault="00954CF2" w:rsidP="00954CF2">
            <w:pPr>
              <w:widowControl w:val="0"/>
              <w:spacing w:line="240" w:lineRule="auto"/>
            </w:pPr>
            <w:r w:rsidRPr="00954CF2">
              <w:rPr>
                <w:b/>
                <w:highlight w:val="white"/>
                <w:lang w:val="en-US"/>
              </w:rPr>
              <w:t>Start the recruitment process early and consider temporary staff if necessary</w:t>
            </w:r>
          </w:p>
        </w:tc>
      </w:tr>
      <w:tr w:rsidR="000E033F">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Pr="000E033F" w:rsidRDefault="00954CF2" w:rsidP="00954CF2">
            <w:pPr>
              <w:widowControl w:val="0"/>
              <w:spacing w:line="240" w:lineRule="auto"/>
              <w:rPr>
                <w:highlight w:val="white"/>
                <w:lang w:val="en-US"/>
              </w:rPr>
            </w:pPr>
            <w:r w:rsidRPr="00954CF2">
              <w:rPr>
                <w:highlight w:val="white"/>
                <w:lang w:val="en-US"/>
              </w:rPr>
              <w:t>Training extends beyond planned time</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Default="000E033F">
            <w:pPr>
              <w:widowControl w:val="0"/>
              <w:spacing w:line="240" w:lineRule="auto"/>
              <w:rPr>
                <w:b/>
                <w:color w:val="E69138"/>
              </w:rPr>
            </w:pPr>
            <w:r>
              <w:rPr>
                <w:b/>
                <w:color w:val="6AA84F"/>
              </w:rPr>
              <w:t>Low</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rsidR="000E033F" w:rsidRPr="000E033F" w:rsidRDefault="00954CF2" w:rsidP="00954CF2">
            <w:pPr>
              <w:widowControl w:val="0"/>
              <w:spacing w:line="240" w:lineRule="auto"/>
              <w:rPr>
                <w:b/>
                <w:highlight w:val="white"/>
                <w:lang w:val="en-US"/>
              </w:rPr>
            </w:pPr>
            <w:r w:rsidRPr="00954CF2">
              <w:rPr>
                <w:b/>
                <w:highlight w:val="white"/>
                <w:lang w:val="en-US"/>
              </w:rPr>
              <w:t>Ensure flexible training schedules and clear milestones for team readiness</w:t>
            </w:r>
          </w:p>
        </w:tc>
      </w:tr>
    </w:tbl>
    <w:p w:rsidR="00971379" w:rsidRDefault="00971379">
      <w:pPr>
        <w:rPr>
          <w:sz w:val="28"/>
          <w:szCs w:val="28"/>
        </w:rPr>
      </w:pPr>
    </w:p>
    <w:p w:rsidR="00971379" w:rsidRDefault="00971379">
      <w:pPr>
        <w:rPr>
          <w:sz w:val="28"/>
          <w:szCs w:val="28"/>
        </w:rPr>
      </w:pPr>
    </w:p>
    <w:p w:rsidR="00971379" w:rsidRDefault="00971379">
      <w:pPr>
        <w:rPr>
          <w:sz w:val="28"/>
          <w:szCs w:val="28"/>
        </w:rPr>
      </w:pPr>
    </w:p>
    <w:p w:rsidR="000E033F" w:rsidRDefault="000E033F">
      <w:pPr>
        <w:rPr>
          <w:sz w:val="28"/>
          <w:szCs w:val="28"/>
        </w:rPr>
      </w:pPr>
    </w:p>
    <w:p w:rsidR="00971379" w:rsidRDefault="00971379"/>
    <w:sectPr w:rsidR="00971379">
      <w:headerReference w:type="even" r:id="rId8"/>
      <w:headerReference w:type="default" r:id="rId9"/>
      <w:headerReference w:type="first" r:id="rId10"/>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453" w:rsidRDefault="00E01453" w:rsidP="000551D3">
      <w:pPr>
        <w:spacing w:line="240" w:lineRule="auto"/>
      </w:pPr>
      <w:r>
        <w:separator/>
      </w:r>
    </w:p>
  </w:endnote>
  <w:endnote w:type="continuationSeparator" w:id="0">
    <w:p w:rsidR="00E01453" w:rsidRDefault="00E01453" w:rsidP="00055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453" w:rsidRDefault="00E01453" w:rsidP="000551D3">
      <w:pPr>
        <w:spacing w:line="240" w:lineRule="auto"/>
      </w:pPr>
      <w:r>
        <w:separator/>
      </w:r>
    </w:p>
  </w:footnote>
  <w:footnote w:type="continuationSeparator" w:id="0">
    <w:p w:rsidR="00E01453" w:rsidRDefault="00E01453" w:rsidP="00055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1D3" w:rsidRDefault="000551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AAC" w:rsidRDefault="00E96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1D3" w:rsidRDefault="000551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379"/>
    <w:rsid w:val="000551D3"/>
    <w:rsid w:val="000E033F"/>
    <w:rsid w:val="002E69E3"/>
    <w:rsid w:val="003D7290"/>
    <w:rsid w:val="00505D26"/>
    <w:rsid w:val="00954CF2"/>
    <w:rsid w:val="00971379"/>
    <w:rsid w:val="00B22328"/>
    <w:rsid w:val="00E01453"/>
    <w:rsid w:val="00E753E7"/>
    <w:rsid w:val="00E96AA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8A8C1"/>
  <w15:docId w15:val="{778E8291-084C-1E47-BD06-90A35BD5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551D3"/>
    <w:pPr>
      <w:tabs>
        <w:tab w:val="center" w:pos="4680"/>
        <w:tab w:val="right" w:pos="9360"/>
      </w:tabs>
      <w:spacing w:line="240" w:lineRule="auto"/>
    </w:pPr>
  </w:style>
  <w:style w:type="character" w:customStyle="1" w:styleId="HeaderChar">
    <w:name w:val="Header Char"/>
    <w:basedOn w:val="DefaultParagraphFont"/>
    <w:link w:val="Header"/>
    <w:uiPriority w:val="99"/>
    <w:rsid w:val="000551D3"/>
  </w:style>
  <w:style w:type="paragraph" w:styleId="Footer">
    <w:name w:val="footer"/>
    <w:basedOn w:val="Normal"/>
    <w:link w:val="FooterChar"/>
    <w:uiPriority w:val="99"/>
    <w:unhideWhenUsed/>
    <w:rsid w:val="000551D3"/>
    <w:pPr>
      <w:tabs>
        <w:tab w:val="center" w:pos="4680"/>
        <w:tab w:val="right" w:pos="9360"/>
      </w:tabs>
      <w:spacing w:line="240" w:lineRule="auto"/>
    </w:pPr>
  </w:style>
  <w:style w:type="character" w:customStyle="1" w:styleId="FooterChar">
    <w:name w:val="Footer Char"/>
    <w:basedOn w:val="DefaultParagraphFont"/>
    <w:link w:val="Footer"/>
    <w:uiPriority w:val="99"/>
    <w:rsid w:val="0005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22C2-2FB9-8D47-A7A3-19AE568D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محمد عبدالعظيم عبدالفتاح</cp:lastModifiedBy>
  <cp:revision>2</cp:revision>
  <dcterms:created xsi:type="dcterms:W3CDTF">2024-10-26T16:52:00Z</dcterms:created>
  <dcterms:modified xsi:type="dcterms:W3CDTF">2024-10-26T16:52:00Z</dcterms:modified>
</cp:coreProperties>
</file>