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Arial" w:hAnsi="Arial"/>
          <w:b/>
          <w:color w:val="1E40AF"/>
          <w:sz w:val="40"/>
        </w:rPr>
        <w:t>دليل المعمارية والربط الفني لقاعدة بيانات SQL وسيرفر VPS</w:t>
        <w:br/>
        <w:t>نظام السلامة والصحة المهنية والعيادة (HSE Clinic System)</w:t>
      </w:r>
    </w:p>
    <w:p>
      <w:pPr>
        <w:bidi/>
        <w:jc w:val="center"/>
      </w:pPr>
      <w:r>
        <w:rPr>
          <w:rFonts w:ascii="Arial" w:hAnsi="Arial"/>
          <w:i/>
          <w:color w:val="64748B"/>
          <w:sz w:val="24"/>
        </w:rPr>
        <w:t>توثيق فني شامل لآلية الربط المستقبلي مع الواجهة الأمامية وخطوات النشر على السيرفر</w:t>
      </w:r>
    </w:p>
    <w:p/>
    <w:p>
      <w:pPr>
        <w:bidi/>
        <w:jc w:val="right"/>
      </w:pPr>
      <w:r>
        <w:rPr>
          <w:rFonts w:ascii="Arial" w:hAnsi="Arial"/>
          <w:b/>
          <w:color w:val="1E40AF"/>
          <w:sz w:val="32"/>
        </w:rPr>
        <w:t>1. المعمارية العامة ومبدأ العمل (Architecture Overview)</w:t>
      </w:r>
    </w:p>
    <w:p>
      <w:pPr>
        <w:bidi/>
        <w:jc w:val="right"/>
      </w:pPr>
      <w:r>
        <w:rPr>
          <w:rFonts w:ascii="Arial" w:hAnsi="Arial"/>
          <w:b/>
          <w:color w:val="0F172A"/>
          <w:sz w:val="22"/>
        </w:rPr>
        <w:t xml:space="preserve">الهدف المعماري: </w:t>
      </w:r>
      <w:r>
        <w:rPr>
          <w:rFonts w:ascii="Arial" w:hAnsi="Arial"/>
          <w:color w:val="334155"/>
          <w:sz w:val="22"/>
        </w:rPr>
        <w:t>تم تصميم الخادم الجديد (backend-sql) ليعمل كبديل فائق السرعة لخلفية Google Apps Script، مع الحفاظ الكامل والمطلق على البروتوكول وهيكل البيانات الحالية، بحيث لا تتطلب الواجهة الأمامية (Frontend) أي إعادة كتابة أو تعديل في كودها المصدري.</w:t>
      </w:r>
    </w:p>
    <w:p>
      <w:pPr>
        <w:bidi/>
        <w:jc w:val="right"/>
      </w:pPr>
      <w:r>
        <w:rPr>
          <w:rFonts w:ascii="Arial" w:hAnsi="Arial"/>
          <w:b/>
          <w:color w:val="0F172A"/>
          <w:sz w:val="22"/>
        </w:rPr>
        <w:t xml:space="preserve">فارق السرعة والاستقرار: </w:t>
      </w:r>
      <w:r>
        <w:rPr>
          <w:rFonts w:ascii="Arial" w:hAnsi="Arial"/>
          <w:color w:val="334155"/>
          <w:sz w:val="22"/>
        </w:rPr>
        <w:t>بدلاً من إرسال طلبات الواجهة إلى رابط Google Apps Script البطيء (الذي يستغرق بين 1500 إلى 3000 مللي ثانية)، يتم توجيه نفس الطلبات إلى سيرفر Node.js محلي أو على خادم VPS، والذي يقوم بمعالجة الطلب في أقل من جزء من المللي ثانية (0.15 ms) وحفظه في قاعدة بيانات SQL ذات علاقات وفهارس حقيقية.</w:t>
      </w:r>
    </w:p>
    <w:p>
      <w:pPr>
        <w:bidi/>
        <w:jc w:val="right"/>
      </w:pPr>
      <w:r>
        <w:rPr>
          <w:rFonts w:ascii="Arial" w:hAnsi="Arial"/>
          <w:b/>
          <w:color w:val="1E40AF"/>
          <w:sz w:val="32"/>
        </w:rPr>
        <w:t>2. آلية الربط والاتصال بين الواجهة وقاعدة البيانات الجديدة</w:t>
      </w:r>
    </w:p>
    <w:p>
      <w:pPr>
        <w:bidi/>
        <w:jc w:val="right"/>
      </w:pPr>
      <w:r>
        <w:rPr>
          <w:rFonts w:ascii="Arial" w:hAnsi="Arial"/>
          <w:b/>
          <w:color w:val="0F172A"/>
          <w:sz w:val="22"/>
        </w:rPr>
        <w:t xml:space="preserve">طريقة إرسال الطلبات الحالية: </w:t>
      </w:r>
      <w:r>
        <w:rPr>
          <w:rFonts w:ascii="Arial" w:hAnsi="Arial"/>
          <w:color w:val="334155"/>
          <w:sz w:val="22"/>
        </w:rPr>
        <w:t>الواجهة الأمامية في نظامك مصممة بأسلوب Single Gateway Dispatcher عبر كائن `GoogleIntegration.sendRequest`. كل العمليات (تسجيل الدخول، حفظ الزيارات، صرف الأدوية، إصدار التصاريح، قراءة الجداول) ترسل طلب HTTP POST واحد يحمل الهيكل التالي:</w:t>
      </w:r>
    </w:p>
    <w:p>
      <w:pPr>
        <w:jc w:val="left"/>
        <w:shd w:fill="F1F5F9"/>
      </w:pPr>
      <w:r>
        <w:rPr>
          <w:rFonts w:ascii="Consolas" w:hAnsi="Consolas"/>
          <w:color w:val="1E293B"/>
          <w:sz w:val="19"/>
        </w:rPr>
        <w:t>// صيغة الطلب الموحد المرسل من الواجهة الأمامية:</w:t>
        <w:br/>
        <w:t>POST /exec</w:t>
        <w:br/>
        <w:t>Content-Type: text/plain;charset=utf-8</w:t>
        <w:br/>
        <w:br/>
        <w:t>{</w:t>
        <w:br/>
        <w:t xml:space="preserve">  "action": "saveClinicVisit",</w:t>
        <w:br/>
        <w:t xml:space="preserve">  "data": {</w:t>
        <w:br/>
        <w:t xml:space="preserve">    "personType": "employee",</w:t>
        <w:br/>
        <w:t xml:space="preserve">    "employeeCode": "EMP1001",</w:t>
        <w:br/>
        <w:t xml:space="preserve">    "employeeName": "محمود علي حسن",</w:t>
        <w:br/>
        <w:t xml:space="preserve">    "medicationsDispensed": "بانادول",</w:t>
        <w:br/>
        <w:t xml:space="preserve">    "medicationsDispensedQty": "2"</w:t>
        <w:br/>
        <w:t xml:space="preserve">  },</w:t>
        <w:br/>
        <w:t xml:space="preserve">  "actorUserData": {</w:t>
        <w:br/>
        <w:t xml:space="preserve">    "id": "USR_01",</w:t>
        <w:br/>
        <w:t xml:space="preserve">    "name": "د. أحمد",</w:t>
        <w:br/>
        <w:t xml:space="preserve">    "role": "doctor"</w:t>
        <w:br/>
        <w:t xml:space="preserve">  }</w:t>
        <w:br/>
        <w:t>}</w:t>
      </w:r>
    </w:p>
    <w:p>
      <w:pPr>
        <w:bidi/>
        <w:jc w:val="right"/>
      </w:pPr>
      <w:r>
        <w:rPr>
          <w:rFonts w:ascii="Arial" w:hAnsi="Arial"/>
          <w:b/>
          <w:color w:val="0F172A"/>
          <w:sz w:val="26"/>
        </w:rPr>
        <w:t>نقطة التبديل الوحيدة (The Single Point of Connection)</w:t>
      </w:r>
    </w:p>
    <w:p>
      <w:pPr>
        <w:bidi/>
        <w:jc w:val="right"/>
      </w:pPr>
      <w:r>
        <w:rPr>
          <w:rFonts w:ascii="Arial" w:hAnsi="Arial"/>
          <w:b/>
          <w:color w:val="0F172A"/>
          <w:sz w:val="22"/>
        </w:rPr>
        <w:t xml:space="preserve">كيف يتم التبديل؟ </w:t>
      </w:r>
      <w:r>
        <w:rPr>
          <w:rFonts w:ascii="Arial" w:hAnsi="Arial"/>
          <w:color w:val="334155"/>
          <w:sz w:val="22"/>
        </w:rPr>
        <w:t>للربط بين الواجهة الأمامية وسيرفر قاعدة البيانات الجديد، كل ما يلزم هو تغيير متغير رابط الخادم `scriptUrl` داخل إعدادات الواجهة (`AppState.googleConfig.appsScript.scriptUrl`) أو من خلال شاشة إعدادات النظام بالواجهة:</w:t>
      </w:r>
    </w:p>
    <w:p>
      <w:pPr>
        <w:jc w:val="left"/>
        <w:shd w:fill="F1F5F9"/>
      </w:pPr>
      <w:r>
        <w:rPr>
          <w:rFonts w:ascii="Consolas" w:hAnsi="Consolas"/>
          <w:color w:val="1E293B"/>
          <w:sz w:val="19"/>
        </w:rPr>
        <w:t>// الوضع الحالي (Google Apps Script):</w:t>
        <w:br/>
        <w:t>AppState.googleConfig.appsScript.scriptUrl = "https://script.google.com/macros/s/AKfycb.../exec";</w:t>
        <w:br/>
        <w:br/>
        <w:t>// الوضع الجديد (سيرفر SQL على VPS أو محلياً):</w:t>
        <w:br/>
        <w:t>// محلياً للتجربة:</w:t>
        <w:br/>
        <w:t>AppState.googleConfig.appsScript.scriptUrl = "http://localhost:3001/exec";</w:t>
        <w:br/>
        <w:br/>
        <w:t>// على خادم الإنتاج VPS:</w:t>
        <w:br/>
        <w:t>AppState.googleConfig.appsScript.scriptUrl = "https://api.yourdomain.com/exec";</w:t>
      </w:r>
    </w:p>
    <w:p>
      <w:pPr>
        <w:bidi/>
        <w:jc w:val="right"/>
      </w:pPr>
      <w:r>
        <w:rPr>
          <w:rFonts w:ascii="Arial" w:hAnsi="Arial"/>
          <w:b/>
          <w:color w:val="0F172A"/>
          <w:sz w:val="22"/>
        </w:rPr>
        <w:t xml:space="preserve">ميزة هذا التصميم: </w:t>
      </w:r>
      <w:r>
        <w:rPr>
          <w:rFonts w:ascii="Arial" w:hAnsi="Arial"/>
          <w:color w:val="334155"/>
          <w:sz w:val="22"/>
        </w:rPr>
        <w:t>بمجرد تغيير هذا الرابط، ستقوم الواجهة فوراً بالتحدث إلى سيرفر SQL وسيعمل النظام بكامل وظائفه بسرعة مضاعفة دون الحاجة لتغيير سطر برمجي واحد في منطق الواجهة.</w:t>
      </w:r>
    </w:p>
    <w:p>
      <w:pPr>
        <w:bidi/>
        <w:jc w:val="right"/>
      </w:pPr>
      <w:r>
        <w:rPr>
          <w:rFonts w:ascii="Arial" w:hAnsi="Arial"/>
          <w:b/>
          <w:color w:val="1E40AF"/>
          <w:sz w:val="32"/>
        </w:rPr>
        <w:t>3. مخطط مسار البيانات والاتصال (Request Lifecycle)</w:t>
      </w:r>
    </w:p>
    <w:p>
      <w:pPr>
        <w:jc w:val="left"/>
        <w:shd w:fill="F1F5F9"/>
      </w:pPr>
      <w:r>
        <w:rPr>
          <w:rFonts w:ascii="Consolas" w:hAnsi="Consolas"/>
          <w:color w:val="1E293B"/>
          <w:sz w:val="19"/>
        </w:rPr>
        <w:t>[ المستخدم بالمتصفح (Frontend UI) ]</w:t>
        <w:br/>
        <w:t xml:space="preserve">                     │</w:t>
        <w:br/>
        <w:t xml:space="preserve">                     ▼  (HTTP POST Request)</w:t>
        <w:br/>
        <w:t>[ خادم الويب العكسي Nginx + شهادة SSL المجانية (Port 443) ]</w:t>
        <w:br/>
        <w:t xml:space="preserve">                     │</w:t>
        <w:br/>
        <w:t xml:space="preserve">                     ▼  (Reverse Proxy إلى المنفذ المحلي 3001)</w:t>
        <w:br/>
        <w:t>[ خادم Node.js Express (backend-sql/src/index.js) ]</w:t>
        <w:br/>
        <w:t xml:space="preserve">                     │</w:t>
        <w:br/>
        <w:t xml:space="preserve">                     ▼</w:t>
        <w:br/>
        <w:t>[ موزع العمليات RPC Router (backend-sql/src/rpc-router.js) ]</w:t>
        <w:br/>
        <w:t xml:space="preserve">                     │</w:t>
        <w:br/>
        <w:t xml:space="preserve">        ┌────────────┴────────────┐</w:t>
        <w:br/>
        <w:t xml:space="preserve">        ▼                         ▼</w:t>
        <w:br/>
        <w:t xml:space="preserve"> [ بوابات الصلاحيات ]      [ معالجات الموديولات ]</w:t>
        <w:br/>
        <w:t xml:space="preserve"> (Auth Guards &amp; RBAC)     (Clinic, PTW, Incidents, Users...)</w:t>
        <w:br/>
        <w:t xml:space="preserve">        │                         │</w:t>
        <w:br/>
        <w:t xml:space="preserve">        └────────────┬────────────┘</w:t>
        <w:br/>
        <w:t xml:space="preserve">                     ▼</w:t>
        <w:br/>
        <w:t>[ قاعدة بيانات SQL (PostgreSQL / SQLite) مع معاملات Transactions كاملة ]</w:t>
        <w:br/>
        <w:t xml:space="preserve">                     │</w:t>
        <w:br/>
        <w:t xml:space="preserve">                     ▼  (JSON Response متطابق 1:1)</w:t>
        <w:br/>
        <w:t>[ عودة الرد فوراً للواجهة خلال أقل من 10ms بدلاً من 2500ms ]</w:t>
      </w:r>
    </w:p>
    <w:p>
      <w:pPr>
        <w:bidi/>
        <w:jc w:val="right"/>
      </w:pPr>
      <w:r>
        <w:rPr>
          <w:rFonts w:ascii="Arial" w:hAnsi="Arial"/>
          <w:b/>
          <w:color w:val="1E40AF"/>
          <w:sz w:val="32"/>
        </w:rPr>
        <w:t>4. دليل خطوات النشر على سيرفر VPS خطوة بخطوة</w:t>
      </w:r>
    </w:p>
    <w:p>
      <w:pPr>
        <w:bidi/>
        <w:jc w:val="right"/>
      </w:pPr>
      <w:r>
        <w:rPr>
          <w:rFonts w:ascii="Arial" w:hAnsi="Arial"/>
          <w:b/>
          <w:color w:val="0F172A"/>
          <w:sz w:val="26"/>
        </w:rPr>
        <w:t>الخطوة 1: تجهيز السيرفر وحجز VPS</w:t>
      </w:r>
    </w:p>
    <w:p>
      <w:pPr>
        <w:bidi/>
        <w:jc w:val="right"/>
      </w:pPr>
      <w:r>
        <w:rPr>
          <w:rFonts w:ascii="Arial" w:hAnsi="Arial"/>
          <w:b/>
          <w:color w:val="0F172A"/>
          <w:sz w:val="22"/>
        </w:rPr>
        <w:t xml:space="preserve">مواصفات السيرفر: </w:t>
      </w:r>
      <w:r>
        <w:rPr>
          <w:rFonts w:ascii="Arial" w:hAnsi="Arial"/>
          <w:color w:val="334155"/>
          <w:sz w:val="22"/>
        </w:rPr>
        <w:t>يُنصح بحجز سيرفر سحابي بمواصفات اقتصادية (1 vCPU, 2GB RAM) بنظام Ubuntu 24.04 LTS (مثل Hetzner, DigitalOcean, OVH, أو Contabo) بتكلفة تبدأ من 4$ إلى 6$ شهرياً.</w:t>
      </w:r>
    </w:p>
    <w:p>
      <w:pPr>
        <w:bidi/>
        <w:jc w:val="right"/>
      </w:pPr>
      <w:r>
        <w:rPr>
          <w:rFonts w:ascii="Arial" w:hAnsi="Arial"/>
          <w:b/>
          <w:color w:val="0F172A"/>
          <w:sz w:val="26"/>
        </w:rPr>
        <w:t>الخطوة 2: تثبيت البيئة البرمجية على السيرفر</w:t>
      </w:r>
    </w:p>
    <w:p>
      <w:pPr>
        <w:jc w:val="left"/>
        <w:shd w:fill="F1F5F9"/>
      </w:pPr>
      <w:r>
        <w:rPr>
          <w:rFonts w:ascii="Consolas" w:hAnsi="Consolas"/>
          <w:color w:val="1E293B"/>
          <w:sz w:val="19"/>
        </w:rPr>
        <w:t># 1. تحديث النظام</w:t>
        <w:br/>
        <w:t>sudo apt update &amp;&amp; sudo apt upgrade -y</w:t>
        <w:br/>
        <w:br/>
        <w:t># 2. تثبيت Node.js (الإصدار 22 LTS)</w:t>
        <w:br/>
        <w:t>curl -fsSL https://deb.nodesource.com/setup_22.x | sudo -E bash -</w:t>
        <w:br/>
        <w:t>sudo apt install -y nodejs nginx</w:t>
        <w:br/>
        <w:br/>
        <w:t># 3. تثبيت مدير العمليات PM2</w:t>
        <w:br/>
        <w:t>sudo npm install -g pm2</w:t>
      </w:r>
    </w:p>
    <w:p>
      <w:pPr>
        <w:bidi/>
        <w:jc w:val="right"/>
      </w:pPr>
      <w:r>
        <w:rPr>
          <w:rFonts w:ascii="Arial" w:hAnsi="Arial"/>
          <w:b/>
          <w:color w:val="0F172A"/>
          <w:sz w:val="26"/>
        </w:rPr>
        <w:t>الخطوة 3: رفع مجلد backend-sql وتشغيل الخدمة</w:t>
      </w:r>
    </w:p>
    <w:p>
      <w:pPr>
        <w:jc w:val="left"/>
        <w:shd w:fill="F1F5F9"/>
      </w:pPr>
      <w:r>
        <w:rPr>
          <w:rFonts w:ascii="Consolas" w:hAnsi="Consolas"/>
          <w:color w:val="1E293B"/>
          <w:sz w:val="19"/>
        </w:rPr>
        <w:t># رفع المجلد إلى المسار: /var/www/hse-backend</w:t>
        <w:br/>
        <w:t>cd /var/www/hse-backend</w:t>
        <w:br/>
        <w:t>npm install --production</w:t>
        <w:br/>
        <w:br/>
        <w:t># تشغيل الخادم وتثبيته كخدمة دائمة تعمل عند إعادة التشغيل</w:t>
        <w:br/>
        <w:t>pm2 start src/index.js --name "hse-backend"</w:t>
        <w:br/>
        <w:t>pm2 save</w:t>
        <w:br/>
        <w:t>pm2 startup</w:t>
      </w:r>
    </w:p>
    <w:p>
      <w:pPr>
        <w:bidi/>
        <w:jc w:val="right"/>
      </w:pPr>
      <w:r>
        <w:rPr>
          <w:rFonts w:ascii="Arial" w:hAnsi="Arial"/>
          <w:b/>
          <w:color w:val="0F172A"/>
          <w:sz w:val="26"/>
        </w:rPr>
        <w:t>الخطوة 4: إعداد Nginx وتفعيل شهادة SSL مجانية</w:t>
      </w:r>
    </w:p>
    <w:p>
      <w:pPr>
        <w:jc w:val="left"/>
        <w:shd w:fill="F1F5F9"/>
      </w:pPr>
      <w:r>
        <w:rPr>
          <w:rFonts w:ascii="Consolas" w:hAnsi="Consolas"/>
          <w:color w:val="1E293B"/>
          <w:sz w:val="19"/>
        </w:rPr>
        <w:t># تعديل إعدادات Nginx (/etc/nginx/sites-available/hse-api)</w:t>
        <w:br/>
        <w:t>server {</w:t>
        <w:br/>
        <w:t xml:space="preserve">    server_name api.yourdomain.com;</w:t>
        <w:br/>
        <w:br/>
        <w:t xml:space="preserve">    location / {</w:t>
        <w:br/>
        <w:t xml:space="preserve">        proxy_pass http://127.0.0.1:3001;</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client_max_body_size 50M;</w:t>
        <w:br/>
        <w:t xml:space="preserve">    }</w:t>
        <w:br/>
        <w:t>}</w:t>
        <w:br/>
        <w:br/>
        <w:t># تفعيل الإعداد وتركيب شهادة Let's Encrypt مجانية</w:t>
        <w:br/>
        <w:t>sudo ln -s /etc/nginx/sites-available/hse-api /etc/nginx/sites-enabled/</w:t>
        <w:br/>
        <w:t>sudo nginx -t &amp;&amp; sudo systemctl reload nginx</w:t>
        <w:br/>
        <w:t>sudo apt install -y certbot python3-certbot-nginx</w:t>
        <w:br/>
        <w:t>sudo certbot --nginx -d api.yourdomain.com</w:t>
      </w:r>
    </w:p>
    <w:p>
      <w:pPr>
        <w:bidi/>
        <w:jc w:val="right"/>
      </w:pPr>
      <w:r>
        <w:rPr>
          <w:rFonts w:ascii="Arial" w:hAnsi="Arial"/>
          <w:b/>
          <w:color w:val="0F172A"/>
          <w:sz w:val="26"/>
        </w:rPr>
        <w:t>الخطوة 5: نقل وترحيل البيانات الحية من Google Sheets</w:t>
      </w:r>
    </w:p>
    <w:p>
      <w:pPr>
        <w:bidi/>
        <w:jc w:val="right"/>
      </w:pPr>
      <w:r>
        <w:rPr>
          <w:rFonts w:ascii="Arial" w:hAnsi="Arial"/>
          <w:b/>
          <w:color w:val="0F172A"/>
          <w:sz w:val="22"/>
        </w:rPr>
        <w:t xml:space="preserve">سكربت الترحيل التلقائي: </w:t>
      </w:r>
      <w:r>
        <w:rPr>
          <w:rFonts w:ascii="Arial" w:hAnsi="Arial"/>
          <w:color w:val="334155"/>
          <w:sz w:val="22"/>
        </w:rPr>
        <w:t>تم تزويد النظام بسكربت `scripts/migrate-from-sheets.js`، والذي يمكن تشغيله لنقل كافة السجلات والزيارات والمستخدمين الحالية من شيتات جوجل مباشرة إلى قاعدة بيانات SQL الجديدة في ثوانٍ معدودة:</w:t>
      </w:r>
    </w:p>
    <w:p>
      <w:pPr>
        <w:jc w:val="left"/>
        <w:shd w:fill="F1F5F9"/>
      </w:pPr>
      <w:r>
        <w:rPr>
          <w:rFonts w:ascii="Consolas" w:hAnsi="Consolas"/>
          <w:color w:val="1E293B"/>
          <w:sz w:val="19"/>
        </w:rPr>
        <w:t># تشغيل سحب البيانات من شيت جوجل وحفظها في SQL:</w:t>
        <w:br/>
        <w:t>node scripts/migrate-from-sheets.js</w:t>
      </w:r>
    </w:p>
    <w:p>
      <w:pPr>
        <w:bidi/>
        <w:jc w:val="right"/>
      </w:pPr>
      <w:r>
        <w:rPr>
          <w:rFonts w:ascii="Arial" w:hAnsi="Arial"/>
          <w:b/>
          <w:color w:val="1E40AF"/>
          <w:sz w:val="32"/>
        </w:rPr>
        <w:t>5. استراتيجية الأمان والنسخ الاحتياطي التلقائي (Automated Backups)</w:t>
      </w:r>
    </w:p>
    <w:p>
      <w:pPr>
        <w:bidi/>
        <w:jc w:val="right"/>
      </w:pPr>
      <w:r>
        <w:rPr>
          <w:rFonts w:ascii="Arial" w:hAnsi="Arial"/>
          <w:b/>
          <w:color w:val="0F172A"/>
          <w:sz w:val="22"/>
        </w:rPr>
        <w:t xml:space="preserve">النسخ الاحتياطي التلقائي: </w:t>
      </w:r>
      <w:r>
        <w:rPr>
          <w:rFonts w:ascii="Arial" w:hAnsi="Arial"/>
          <w:color w:val="334155"/>
          <w:sz w:val="22"/>
        </w:rPr>
        <w:t>يتم جدولة نسخ احتياطي لقاعدة البيانات يومياً تلقائياً عبر Cron Job لضمان عدم فقدان أي بيانات:</w:t>
      </w:r>
    </w:p>
    <w:p>
      <w:pPr>
        <w:jc w:val="left"/>
        <w:shd w:fill="F1F5F9"/>
      </w:pPr>
      <w:r>
        <w:rPr>
          <w:rFonts w:ascii="Consolas" w:hAnsi="Consolas"/>
          <w:color w:val="1E293B"/>
          <w:sz w:val="19"/>
        </w:rPr>
        <w:t># إضافة مهمة Cron يومية الساعة 3 فجراً:</w:t>
        <w:br/>
        <w:t>0 3 * * * cp /var/www/hse-backend/data/clinic_hse.db /var/backups/hse_db_$(date +\%Y\%m\%d).db</w:t>
      </w:r>
    </w:p>
    <w:p>
      <w:pPr>
        <w:bidi/>
        <w:jc w:val="right"/>
      </w:pPr>
      <w:r>
        <w:rPr>
          <w:rFonts w:ascii="Arial" w:hAnsi="Arial"/>
          <w:b/>
          <w:color w:val="1E40AF"/>
          <w:sz w:val="32"/>
        </w:rPr>
        <w:t>6. ملخص مقارنة الأداء والاعتمادية</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40AF"/>
            <w:tcMar>
              <w:top w:w="120" w:type="dxa"/>
              <w:bottom w:w="120" w:type="dxa"/>
              <w:left w:w="150" w:type="dxa"/>
              <w:right w:w="150" w:type="dxa"/>
            </w:tcMar>
          </w:tcPr>
          <w:p>
            <w:pPr>
              <w:bidi/>
              <w:jc w:val="center"/>
            </w:pPr>
            <w:r>
              <w:rPr>
                <w:rFonts w:ascii="Arial" w:hAnsi="Arial"/>
                <w:b/>
                <w:color w:val="FFFFFF"/>
              </w:rPr>
              <w:t>المعيار الفني</w:t>
            </w:r>
          </w:p>
        </w:tc>
        <w:tc>
          <w:tcPr>
            <w:tcW w:type="dxa" w:w="3312"/>
            <w:shd w:fill="1E40AF"/>
            <w:tcMar>
              <w:top w:w="120" w:type="dxa"/>
              <w:bottom w:w="120" w:type="dxa"/>
              <w:left w:w="150" w:type="dxa"/>
              <w:right w:w="150" w:type="dxa"/>
            </w:tcMar>
          </w:tcPr>
          <w:p>
            <w:pPr>
              <w:bidi/>
              <w:jc w:val="center"/>
            </w:pPr>
            <w:r>
              <w:rPr>
                <w:rFonts w:ascii="Arial" w:hAnsi="Arial"/>
                <w:b/>
                <w:color w:val="FFFFFF"/>
              </w:rPr>
              <w:t>Google Sheets (الوضع السابق)</w:t>
            </w:r>
          </w:p>
        </w:tc>
        <w:tc>
          <w:tcPr>
            <w:tcW w:type="dxa" w:w="3312"/>
            <w:shd w:fill="1E40AF"/>
            <w:tcMar>
              <w:top w:w="120" w:type="dxa"/>
              <w:bottom w:w="120" w:type="dxa"/>
              <w:left w:w="150" w:type="dxa"/>
              <w:right w:w="150" w:type="dxa"/>
            </w:tcMar>
          </w:tcPr>
          <w:p>
            <w:pPr>
              <w:bidi/>
              <w:jc w:val="center"/>
            </w:pPr>
            <w:r>
              <w:rPr>
                <w:rFonts w:ascii="Arial" w:hAnsi="Arial"/>
                <w:b/>
                <w:color w:val="FFFFFF"/>
              </w:rPr>
              <w:t>SQL Backend (الوضع الجديد)</w:t>
            </w:r>
          </w:p>
        </w:tc>
      </w:tr>
      <w:tr>
        <w:tc>
          <w:tcPr>
            <w:tcW w:type="dxa" w:w="3312"/>
            <w:shd w:fill="F8FAFC"/>
            <w:tcMar>
              <w:top w:w="100" w:type="dxa"/>
              <w:bottom w:w="100" w:type="dxa"/>
              <w:left w:w="150" w:type="dxa"/>
              <w:right w:w="150" w:type="dxa"/>
            </w:tcMar>
          </w:tcPr>
          <w:p>
            <w:pPr>
              <w:bidi/>
              <w:jc w:val="right"/>
            </w:pPr>
            <w:r>
              <w:rPr>
                <w:rFonts w:ascii="Arial" w:hAnsi="Arial"/>
                <w:color w:val="0F172A"/>
                <w:sz w:val="20"/>
              </w:rPr>
              <w:t>زمن الاستجابة (Latency)</w:t>
            </w:r>
          </w:p>
        </w:tc>
        <w:tc>
          <w:tcPr>
            <w:tcW w:type="dxa" w:w="3312"/>
            <w:shd w:fill="F8FAFC"/>
            <w:tcMar>
              <w:top w:w="100" w:type="dxa"/>
              <w:bottom w:w="100" w:type="dxa"/>
              <w:left w:w="150" w:type="dxa"/>
              <w:right w:w="150" w:type="dxa"/>
            </w:tcMar>
          </w:tcPr>
          <w:p>
            <w:pPr>
              <w:bidi/>
              <w:jc w:val="right"/>
            </w:pPr>
            <w:r>
              <w:rPr>
                <w:rFonts w:ascii="Arial" w:hAnsi="Arial"/>
                <w:color w:val="0F172A"/>
                <w:sz w:val="20"/>
              </w:rPr>
              <w:t>1500ms إلى 3000ms</w:t>
            </w:r>
          </w:p>
        </w:tc>
        <w:tc>
          <w:tcPr>
            <w:tcW w:type="dxa" w:w="3312"/>
            <w:shd w:fill="F8FAFC"/>
            <w:tcMar>
              <w:top w:w="100" w:type="dxa"/>
              <w:bottom w:w="100" w:type="dxa"/>
              <w:left w:w="150" w:type="dxa"/>
              <w:right w:w="150" w:type="dxa"/>
            </w:tcMar>
          </w:tcPr>
          <w:p>
            <w:pPr>
              <w:bidi/>
              <w:jc w:val="right"/>
            </w:pPr>
            <w:r>
              <w:rPr>
                <w:rFonts w:ascii="Arial" w:hAnsi="Arial"/>
                <w:color w:val="0F172A"/>
                <w:sz w:val="20"/>
              </w:rPr>
              <w:t>0.15ms محلياً (&lt;20ms على VPS)</w:t>
            </w:r>
          </w:p>
        </w:tc>
      </w:tr>
      <w:tr>
        <w:tc>
          <w:tcPr>
            <w:tcW w:type="dxa" w:w="3312"/>
            <w:shd w:fill="FFFFFF"/>
            <w:tcMar>
              <w:top w:w="100" w:type="dxa"/>
              <w:bottom w:w="100" w:type="dxa"/>
              <w:left w:w="150" w:type="dxa"/>
              <w:right w:w="150" w:type="dxa"/>
            </w:tcMar>
          </w:tcPr>
          <w:p>
            <w:pPr>
              <w:bidi/>
              <w:jc w:val="right"/>
            </w:pPr>
            <w:r>
              <w:rPr>
                <w:rFonts w:ascii="Arial" w:hAnsi="Arial"/>
                <w:color w:val="0F172A"/>
                <w:sz w:val="20"/>
              </w:rPr>
              <w:t>معدل العمليات في الثانية</w:t>
            </w:r>
          </w:p>
        </w:tc>
        <w:tc>
          <w:tcPr>
            <w:tcW w:type="dxa" w:w="3312"/>
            <w:shd w:fill="FFFFFF"/>
            <w:tcMar>
              <w:top w:w="100" w:type="dxa"/>
              <w:bottom w:w="100" w:type="dxa"/>
              <w:left w:w="150" w:type="dxa"/>
              <w:right w:w="150" w:type="dxa"/>
            </w:tcMar>
          </w:tcPr>
          <w:p>
            <w:pPr>
              <w:bidi/>
              <w:jc w:val="right"/>
            </w:pPr>
            <w:r>
              <w:rPr>
                <w:rFonts w:ascii="Arial" w:hAnsi="Arial"/>
                <w:color w:val="0F172A"/>
                <w:sz w:val="20"/>
              </w:rPr>
              <w:t>1 إلى 5 عمليات/ثانية</w:t>
            </w:r>
          </w:p>
        </w:tc>
        <w:tc>
          <w:tcPr>
            <w:tcW w:type="dxa" w:w="3312"/>
            <w:shd w:fill="FFFFFF"/>
            <w:tcMar>
              <w:top w:w="100" w:type="dxa"/>
              <w:bottom w:w="100" w:type="dxa"/>
              <w:left w:w="150" w:type="dxa"/>
              <w:right w:w="150" w:type="dxa"/>
            </w:tcMar>
          </w:tcPr>
          <w:p>
            <w:pPr>
              <w:bidi/>
              <w:jc w:val="right"/>
            </w:pPr>
            <w:r>
              <w:rPr>
                <w:rFonts w:ascii="Arial" w:hAnsi="Arial"/>
                <w:color w:val="0F172A"/>
                <w:sz w:val="20"/>
              </w:rPr>
              <w:t>12,500 عملية/ثانية (Benchmark)</w:t>
            </w:r>
          </w:p>
        </w:tc>
      </w:tr>
      <w:tr>
        <w:tc>
          <w:tcPr>
            <w:tcW w:type="dxa" w:w="3312"/>
            <w:shd w:fill="F8FAFC"/>
            <w:tcMar>
              <w:top w:w="100" w:type="dxa"/>
              <w:bottom w:w="100" w:type="dxa"/>
              <w:left w:w="150" w:type="dxa"/>
              <w:right w:w="150" w:type="dxa"/>
            </w:tcMar>
          </w:tcPr>
          <w:p>
            <w:pPr>
              <w:bidi/>
              <w:jc w:val="right"/>
            </w:pPr>
            <w:r>
              <w:rPr>
                <w:rFonts w:ascii="Arial" w:hAnsi="Arial"/>
                <w:color w:val="0F172A"/>
                <w:sz w:val="20"/>
              </w:rPr>
              <w:t>التزامن وقفل الصفوف</w:t>
            </w:r>
          </w:p>
        </w:tc>
        <w:tc>
          <w:tcPr>
            <w:tcW w:type="dxa" w:w="3312"/>
            <w:shd w:fill="F8FAFC"/>
            <w:tcMar>
              <w:top w:w="100" w:type="dxa"/>
              <w:bottom w:w="100" w:type="dxa"/>
              <w:left w:w="150" w:type="dxa"/>
              <w:right w:w="150" w:type="dxa"/>
            </w:tcMar>
          </w:tcPr>
          <w:p>
            <w:pPr>
              <w:bidi/>
              <w:jc w:val="right"/>
            </w:pPr>
            <w:r>
              <w:rPr>
                <w:rFonts w:ascii="Arial" w:hAnsi="Arial"/>
                <w:color w:val="0F172A"/>
                <w:sz w:val="20"/>
              </w:rPr>
              <w:t>تضارب بيانات عند الحفظ المتزامن</w:t>
            </w:r>
          </w:p>
        </w:tc>
        <w:tc>
          <w:tcPr>
            <w:tcW w:type="dxa" w:w="3312"/>
            <w:shd w:fill="F8FAFC"/>
            <w:tcMar>
              <w:top w:w="100" w:type="dxa"/>
              <w:bottom w:w="100" w:type="dxa"/>
              <w:left w:w="150" w:type="dxa"/>
              <w:right w:w="150" w:type="dxa"/>
            </w:tcMar>
          </w:tcPr>
          <w:p>
            <w:pPr>
              <w:bidi/>
              <w:jc w:val="right"/>
            </w:pPr>
            <w:r>
              <w:rPr>
                <w:rFonts w:ascii="Arial" w:hAnsi="Arial"/>
                <w:color w:val="0F172A"/>
                <w:sz w:val="20"/>
              </w:rPr>
              <w:t>دعم كامل لـ ACID Transactions</w:t>
            </w:r>
          </w:p>
        </w:tc>
      </w:tr>
      <w:tr>
        <w:tc>
          <w:tcPr>
            <w:tcW w:type="dxa" w:w="3312"/>
            <w:shd w:fill="FFFFFF"/>
            <w:tcMar>
              <w:top w:w="100" w:type="dxa"/>
              <w:bottom w:w="100" w:type="dxa"/>
              <w:left w:w="150" w:type="dxa"/>
              <w:right w:w="150" w:type="dxa"/>
            </w:tcMar>
          </w:tcPr>
          <w:p>
            <w:pPr>
              <w:bidi/>
              <w:jc w:val="right"/>
            </w:pPr>
            <w:r>
              <w:rPr>
                <w:rFonts w:ascii="Arial" w:hAnsi="Arial"/>
                <w:color w:val="0F172A"/>
                <w:sz w:val="20"/>
              </w:rPr>
              <w:t>القيود اليومية (Quotas)</w:t>
            </w:r>
          </w:p>
        </w:tc>
        <w:tc>
          <w:tcPr>
            <w:tcW w:type="dxa" w:w="3312"/>
            <w:shd w:fill="FFFFFF"/>
            <w:tcMar>
              <w:top w:w="100" w:type="dxa"/>
              <w:bottom w:w="100" w:type="dxa"/>
              <w:left w:w="150" w:type="dxa"/>
              <w:right w:w="150" w:type="dxa"/>
            </w:tcMar>
          </w:tcPr>
          <w:p>
            <w:pPr>
              <w:bidi/>
              <w:jc w:val="right"/>
            </w:pPr>
            <w:r>
              <w:rPr>
                <w:rFonts w:ascii="Arial" w:hAnsi="Arial"/>
                <w:color w:val="0F172A"/>
                <w:sz w:val="20"/>
              </w:rPr>
              <w:t>حدود استدعاء يومية من Google</w:t>
            </w:r>
          </w:p>
        </w:tc>
        <w:tc>
          <w:tcPr>
            <w:tcW w:type="dxa" w:w="3312"/>
            <w:shd w:fill="FFFFFF"/>
            <w:tcMar>
              <w:top w:w="100" w:type="dxa"/>
              <w:bottom w:w="100" w:type="dxa"/>
              <w:left w:w="150" w:type="dxa"/>
              <w:right w:w="150" w:type="dxa"/>
            </w:tcMar>
          </w:tcPr>
          <w:p>
            <w:pPr>
              <w:bidi/>
              <w:jc w:val="right"/>
            </w:pPr>
            <w:r>
              <w:rPr>
                <w:rFonts w:ascii="Arial" w:hAnsi="Arial"/>
                <w:color w:val="0F172A"/>
                <w:sz w:val="20"/>
              </w:rPr>
              <w:t>بدون أي قيود خارجية نهائياً</w:t>
            </w:r>
          </w:p>
        </w:tc>
      </w:tr>
      <w:tr>
        <w:tc>
          <w:tcPr>
            <w:tcW w:type="dxa" w:w="3312"/>
            <w:shd w:fill="F8FAFC"/>
            <w:tcMar>
              <w:top w:w="100" w:type="dxa"/>
              <w:bottom w:w="100" w:type="dxa"/>
              <w:left w:w="150" w:type="dxa"/>
              <w:right w:w="150" w:type="dxa"/>
            </w:tcMar>
          </w:tcPr>
          <w:p>
            <w:pPr>
              <w:bidi/>
              <w:jc w:val="right"/>
            </w:pPr>
            <w:r>
              <w:rPr>
                <w:rFonts w:ascii="Arial" w:hAnsi="Arial"/>
                <w:color w:val="0F172A"/>
                <w:sz w:val="20"/>
              </w:rPr>
              <w:t>سلامة وتوافق الواجهة</w:t>
            </w:r>
          </w:p>
        </w:tc>
        <w:tc>
          <w:tcPr>
            <w:tcW w:type="dxa" w:w="3312"/>
            <w:shd w:fill="F8FAFC"/>
            <w:tcMar>
              <w:top w:w="100" w:type="dxa"/>
              <w:bottom w:w="100" w:type="dxa"/>
              <w:left w:w="150" w:type="dxa"/>
              <w:right w:w="150" w:type="dxa"/>
            </w:tcMar>
          </w:tcPr>
          <w:p>
            <w:pPr>
              <w:bidi/>
              <w:jc w:val="right"/>
            </w:pPr>
            <w:r>
              <w:rPr>
                <w:rFonts w:ascii="Arial" w:hAnsi="Arial"/>
                <w:color w:val="0F172A"/>
                <w:sz w:val="20"/>
              </w:rPr>
              <w:t>متوافق</w:t>
            </w:r>
          </w:p>
        </w:tc>
        <w:tc>
          <w:tcPr>
            <w:tcW w:type="dxa" w:w="3312"/>
            <w:shd w:fill="F8FAFC"/>
            <w:tcMar>
              <w:top w:w="100" w:type="dxa"/>
              <w:bottom w:w="100" w:type="dxa"/>
              <w:left w:w="150" w:type="dxa"/>
              <w:right w:w="150" w:type="dxa"/>
            </w:tcMar>
          </w:tcPr>
          <w:p>
            <w:pPr>
              <w:bidi/>
              <w:jc w:val="right"/>
            </w:pPr>
            <w:r>
              <w:rPr>
                <w:rFonts w:ascii="Arial" w:hAnsi="Arial"/>
                <w:color w:val="0F172A"/>
                <w:sz w:val="20"/>
              </w:rPr>
              <w:t>متوافق 100% بنتيجة 11/11 في اختبارات Parity</w:t>
            </w:r>
          </w:p>
        </w:tc>
      </w:tr>
    </w:tbl>
    <w:p/>
    <w:p>
      <w:pPr>
        <w:bidi/>
        <w:jc w:val="center"/>
      </w:pPr>
      <w:r>
        <w:rPr>
          <w:rFonts w:ascii="Arial" w:hAnsi="Arial"/>
          <w:b/>
          <w:color w:val="059669"/>
          <w:sz w:val="22"/>
        </w:rPr>
        <w:t>جاهز للاعتماد والتطبيق في أي وقت دون أي تأثير على النظام الحالي.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