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MISUO</w:t>
      </w:r>
    </w:p>
    <w:p>
      <w:pPr>
        <w:spacing w:after="200"/>
        <w:jc w:val="center"/>
      </w:pPr>
      <w:r>
        <w:rPr>
          <w:rFonts w:ascii="Arial" w:cs="Arial" w:eastAsia="Arial" w:hAnsi="Arial"/>
          <w:b/>
          <w:bCs/>
          <w:color w:val="2E75B6"/>
          <w:sz w:val="40"/>
          <w:szCs w:val="40"/>
        </w:rPr>
        <w:t xml:space="preserve">مـسـيـو  |  أثاث المنازل</w:t>
      </w:r>
    </w:p>
    <w:p>
      <w:pPr>
        <w:spacing w:after="600"/>
        <w:jc w:val="center"/>
      </w:pPr>
      <w:r>
        <w:rPr>
          <w:rFonts w:ascii="Arial" w:cs="Arial" w:eastAsia="Arial" w:hAnsi="Arial"/>
          <w:b/>
          <w:bCs/>
          <w:color w:val="595959"/>
          <w:sz w:val="34"/>
          <w:szCs w:val="34"/>
        </w:rPr>
        <w:t xml:space="preserve">التقرير التنفيذي الشامل لأداء المبيعات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bCs/>
                <w:i w:val="false"/>
                <w:iCs w:val="false"/>
                <w:color w:val="1F4E79"/>
                <w:sz w:val="22"/>
                <w:szCs w:val="22"/>
              </w:rPr>
              <w:t xml:space="preserve">الفترة المحللة: أغسطس – ديسمبر 2024</w:t>
            </w:r>
          </w:p>
        </w:tc>
        <w:tc>
          <w:tcPr>
            <w:tcW w:type="dxa" w:w="468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2"/>
                <w:szCs w:val="22"/>
              </w:rPr>
              <w:t xml:space="preserve">إعداد: قسم تحليل الأعمال (BI)</w:t>
            </w:r>
          </w:p>
        </w:tc>
      </w:tr>
    </w:tbl>
    <w:p>
      <w:r>
        <w:t xml:space="preserve"/>
      </w:r>
    </w:p>
    <w:p>
      <w:r>
        <w:t xml:space="preserve"/>
      </w:r>
    </w:p>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أولاً: الملخص التنفيذي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60"/>
              <w:left w:type="dxa" w:w="200"/>
              <w:bottom w:type="dxa" w:w="160"/>
              <w:right w:type="dxa" w:w="200"/>
            </w:tcMar>
          </w:tcPr>
          <w:p>
            <w:pPr>
              <w:spacing w:after="120"/>
              <w:jc w:val="right"/>
            </w:pPr>
            <w:r>
              <w:rPr>
                <w:rFonts w:ascii="Arial" w:cs="Arial" w:eastAsia="Arial" w:hAnsi="Arial"/>
                <w:b/>
                <w:bCs/>
                <w:color w:val="1F4E79"/>
                <w:sz w:val="24"/>
                <w:szCs w:val="24"/>
              </w:rPr>
              <w:t xml:space="preserve">الحالة العامة للأداء</w:t>
            </w:r>
          </w:p>
          <w:p>
            <w:pPr>
              <w:spacing w:after="80"/>
              <w:jc w:val="right"/>
            </w:pPr>
            <w:r>
              <w:rPr>
                <w:rFonts w:ascii="Arial" w:cs="Arial" w:eastAsia="Arial" w:hAnsi="Arial"/>
                <w:color w:val="000000"/>
                <w:sz w:val="22"/>
                <w:szCs w:val="22"/>
              </w:rPr>
              <w:t xml:space="preserve">تُظهر شركة MISUO أداءً مبيعياً واعداً مع وجود مخاطر تشغيلية جوهرية تستوجب التدخل الفوري. حققت الشركة إجمالي مبيعات بلغ 1.25 مليون جنيه خلال 5 أشهر فقط (أغسطس–ديسمبر 2024)، وهو رقم مشجع لشركة ناشئة أو متوسطة الحجم. غير أن معدل التسليم في الوقت المحدد البالغ 49.17% يمثل خطراً حقيقياً على الاستدامة وسمعة العلامة التجارية.</w:t>
            </w:r>
          </w:p>
        </w:tc>
      </w:tr>
    </w:tbl>
    <w:p>
      <w:r>
        <w:t xml:space="preserve"/>
      </w:r>
    </w:p>
    <w:p>
      <w:pPr>
        <w:spacing w:after="160"/>
        <w:jc w:val="right"/>
      </w:pPr>
      <w:r>
        <w:rPr>
          <w:rFonts w:ascii="Arial" w:cs="Arial" w:eastAsia="Arial" w:hAnsi="Arial"/>
          <w:b/>
          <w:bCs/>
          <w:i w:val="false"/>
          <w:iCs w:val="false"/>
          <w:color w:val="375623"/>
          <w:sz w:val="24"/>
          <w:szCs w:val="24"/>
        </w:rPr>
        <w:t xml:space="preserve">أبرز النقاط الإيجابية:</w:t>
      </w:r>
    </w:p>
    <w:p>
      <w:pPr>
        <w:pStyle w:val="ListParagraph"/>
        <w:numPr>
          <w:ilvl w:val="0"/>
          <w:numId w:val="2"/>
        </w:numPr>
        <w:spacing w:after="100"/>
        <w:jc w:val="right"/>
      </w:pPr>
      <w:r>
        <w:rPr>
          <w:rFonts w:ascii="Arial" w:cs="Arial" w:eastAsia="Arial" w:hAnsi="Arial"/>
          <w:b w:val="false"/>
          <w:bCs w:val="false"/>
          <w:color w:val="000000"/>
          <w:sz w:val="22"/>
          <w:szCs w:val="22"/>
        </w:rPr>
        <w:t xml:space="preserve">حجم مبيعات 1.25M جنيه في 5 أشهر يعكس طلباً حقيقياً على المنتجات.</w:t>
      </w:r>
    </w:p>
    <w:p>
      <w:pPr>
        <w:pStyle w:val="ListParagraph"/>
        <w:numPr>
          <w:ilvl w:val="0"/>
          <w:numId w:val="2"/>
        </w:numPr>
        <w:spacing w:after="100"/>
        <w:jc w:val="right"/>
      </w:pPr>
      <w:r>
        <w:rPr>
          <w:rFonts w:ascii="Arial" w:cs="Arial" w:eastAsia="Arial" w:hAnsi="Arial"/>
          <w:b w:val="false"/>
          <w:bCs w:val="false"/>
          <w:color w:val="000000"/>
          <w:sz w:val="22"/>
          <w:szCs w:val="22"/>
        </w:rPr>
        <w:t xml:space="preserve">هيمنة منصة هومرمارت بنسبة 70% تثبت وجود قناة توزيع فعّالة ومحورية.</w:t>
      </w:r>
    </w:p>
    <w:p>
      <w:pPr>
        <w:pStyle w:val="ListParagraph"/>
        <w:numPr>
          <w:ilvl w:val="0"/>
          <w:numId w:val="2"/>
        </w:numPr>
        <w:spacing w:after="100"/>
        <w:jc w:val="right"/>
      </w:pPr>
      <w:r>
        <w:rPr>
          <w:rFonts w:ascii="Arial" w:cs="Arial" w:eastAsia="Arial" w:hAnsi="Arial"/>
          <w:b w:val="false"/>
          <w:bCs w:val="false"/>
          <w:color w:val="000000"/>
          <w:sz w:val="22"/>
          <w:szCs w:val="22"/>
        </w:rPr>
        <w:t xml:space="preserve">القاهرة الجديدة و6 أكتوبر يمثلان سوقاً جغرافياً واعداً بقدرة شرائية عالية.</w:t>
      </w:r>
    </w:p>
    <w:p>
      <w:pPr>
        <w:pStyle w:val="ListParagraph"/>
        <w:numPr>
          <w:ilvl w:val="0"/>
          <w:numId w:val="2"/>
        </w:numPr>
        <w:spacing w:after="100"/>
        <w:jc w:val="right"/>
      </w:pPr>
      <w:r>
        <w:rPr>
          <w:rFonts w:ascii="Arial" w:cs="Arial" w:eastAsia="Arial" w:hAnsi="Arial"/>
          <w:b w:val="false"/>
          <w:bCs w:val="false"/>
          <w:color w:val="000000"/>
          <w:sz w:val="22"/>
          <w:szCs w:val="22"/>
        </w:rPr>
        <w:t xml:space="preserve">السرير كمنتج رئيسي يحقق 902K (72% من المبيعات) بطلب مستدام وحجم مرتفع.</w:t>
      </w:r>
    </w:p>
    <w:p>
      <w:pPr>
        <w:pStyle w:val="ListParagraph"/>
        <w:numPr>
          <w:ilvl w:val="0"/>
          <w:numId w:val="2"/>
        </w:numPr>
        <w:spacing w:after="100"/>
        <w:jc w:val="right"/>
      </w:pPr>
      <w:r>
        <w:rPr>
          <w:rFonts w:ascii="Arial" w:cs="Arial" w:eastAsia="Arial" w:hAnsi="Arial"/>
          <w:b w:val="false"/>
          <w:bCs w:val="false"/>
          <w:color w:val="000000"/>
          <w:sz w:val="22"/>
          <w:szCs w:val="22"/>
        </w:rPr>
        <w:t xml:space="preserve">قاعدة عملاء 76 عميلاً مع معظمهم من الأفراد يفتح باب توسعة قناة B2B.</w:t>
      </w:r>
    </w:p>
    <w:p>
      <w:r>
        <w:t xml:space="preserve"/>
      </w:r>
    </w:p>
    <w:p>
      <w:pPr>
        <w:spacing w:after="160"/>
        <w:jc w:val="right"/>
      </w:pPr>
      <w:r>
        <w:rPr>
          <w:rFonts w:ascii="Arial" w:cs="Arial" w:eastAsia="Arial" w:hAnsi="Arial"/>
          <w:b/>
          <w:bCs/>
          <w:i w:val="false"/>
          <w:iCs w:val="false"/>
          <w:color w:val="C00000"/>
          <w:sz w:val="24"/>
          <w:szCs w:val="24"/>
        </w:rPr>
        <w:t xml:space="preserve">أبرز نقاط الضعف والمخاطر:</w:t>
      </w:r>
    </w:p>
    <w:p>
      <w:pPr>
        <w:pStyle w:val="ListParagraph"/>
        <w:numPr>
          <w:ilvl w:val="0"/>
          <w:numId w:val="2"/>
        </w:numPr>
        <w:spacing w:after="100"/>
        <w:jc w:val="right"/>
      </w:pPr>
      <w:r>
        <w:rPr>
          <w:rFonts w:ascii="Arial" w:cs="Arial" w:eastAsia="Arial" w:hAnsi="Arial"/>
          <w:b/>
          <w:bCs/>
          <w:color w:val="C00000"/>
          <w:sz w:val="22"/>
          <w:szCs w:val="22"/>
        </w:rPr>
        <w:t xml:space="preserve">⚠️ معدل التسليم في الوقت 49.17% فقط — الأدنى مقبولاً في قطاع الأثاث هو 85%.</w:t>
      </w:r>
    </w:p>
    <w:p>
      <w:pPr>
        <w:pStyle w:val="ListParagraph"/>
        <w:numPr>
          <w:ilvl w:val="0"/>
          <w:numId w:val="2"/>
        </w:numPr>
        <w:spacing w:after="100"/>
        <w:jc w:val="right"/>
      </w:pPr>
      <w:r>
        <w:rPr>
          <w:rFonts w:ascii="Arial" w:cs="Arial" w:eastAsia="Arial" w:hAnsi="Arial"/>
          <w:b/>
          <w:bCs/>
          <w:color w:val="C00000"/>
          <w:sz w:val="22"/>
          <w:szCs w:val="22"/>
        </w:rPr>
        <w:t xml:space="preserve">⚠️ تركز 70% من الإيرادات في منصة واحدة (هومرمارت) يمثل خطر تشغيلي حاداً.</w:t>
      </w:r>
    </w:p>
    <w:p>
      <w:pPr>
        <w:pStyle w:val="ListParagraph"/>
        <w:numPr>
          <w:ilvl w:val="0"/>
          <w:numId w:val="2"/>
        </w:numPr>
        <w:spacing w:after="100"/>
        <w:jc w:val="right"/>
      </w:pPr>
      <w:r>
        <w:rPr>
          <w:rFonts w:ascii="Arial" w:cs="Arial" w:eastAsia="Arial" w:hAnsi="Arial"/>
          <w:b w:val="false"/>
          <w:bCs w:val="false"/>
          <w:color w:val="000000"/>
          <w:sz w:val="22"/>
          <w:szCs w:val="22"/>
        </w:rPr>
        <w:t xml:space="preserve">19.2% من الطلبات تُصنَّف بـ 'فشل التسليم' — وهو معدل مرتفع جداً.</w:t>
      </w:r>
    </w:p>
    <w:p>
      <w:pPr>
        <w:pStyle w:val="ListParagraph"/>
        <w:numPr>
          <w:ilvl w:val="0"/>
          <w:numId w:val="2"/>
        </w:numPr>
        <w:spacing w:after="100"/>
        <w:jc w:val="right"/>
      </w:pPr>
      <w:r>
        <w:rPr>
          <w:rFonts w:ascii="Arial" w:cs="Arial" w:eastAsia="Arial" w:hAnsi="Arial"/>
          <w:b w:val="false"/>
          <w:bCs w:val="false"/>
          <w:color w:val="000000"/>
          <w:sz w:val="22"/>
          <w:szCs w:val="22"/>
        </w:rPr>
        <w:t xml:space="preserve">8.5% من المبيعات في فئة 'غير موجود' تعكس خللاً في منظومة إدارة البيانات.</w:t>
      </w:r>
    </w:p>
    <w:p>
      <w:pPr>
        <w:pStyle w:val="ListParagraph"/>
        <w:numPr>
          <w:ilvl w:val="0"/>
          <w:numId w:val="2"/>
        </w:numPr>
        <w:spacing w:after="100"/>
        <w:jc w:val="right"/>
      </w:pPr>
      <w:r>
        <w:rPr>
          <w:rFonts w:ascii="Arial" w:cs="Arial" w:eastAsia="Arial" w:hAnsi="Arial"/>
          <w:b w:val="false"/>
          <w:bCs w:val="false"/>
          <w:color w:val="000000"/>
          <w:sz w:val="22"/>
          <w:szCs w:val="22"/>
        </w:rPr>
        <w:t xml:space="preserve">البيانات تغطي 5 أشهر فقط مما يُقيّد التحليل الموسمي الكامل.</w:t>
      </w:r>
    </w:p>
    <w:p>
      <w:r>
        <w:t xml:space="preserve"/>
      </w:r>
    </w:p>
    <w:p>
      <w:pPr>
        <w:spacing w:after="160"/>
        <w:jc w:val="right"/>
      </w:pPr>
      <w:r>
        <w:rPr>
          <w:rFonts w:ascii="Arial" w:cs="Arial" w:eastAsia="Arial" w:hAnsi="Arial"/>
          <w:b/>
          <w:bCs/>
          <w:i w:val="false"/>
          <w:iCs w:val="false"/>
          <w:color w:val="ED7D31"/>
          <w:sz w:val="24"/>
          <w:szCs w:val="24"/>
        </w:rPr>
        <w:t xml:space="preserve">أهم التوصيات العاجلة:</w:t>
      </w:r>
    </w:p>
    <w:p>
      <w:pPr>
        <w:pStyle w:val="ListParagraph"/>
        <w:numPr>
          <w:ilvl w:val="0"/>
          <w:numId w:val="2"/>
        </w:numPr>
        <w:spacing w:after="100"/>
        <w:jc w:val="right"/>
      </w:pPr>
      <w:r>
        <w:rPr>
          <w:rFonts w:ascii="Arial" w:cs="Arial" w:eastAsia="Arial" w:hAnsi="Arial"/>
          <w:b w:val="false"/>
          <w:bCs w:val="false"/>
          <w:color w:val="000000"/>
          <w:sz w:val="22"/>
          <w:szCs w:val="22"/>
        </w:rPr>
        <w:t xml:space="preserve">إطلاق خطة طوارئ لوجستية لرفع معدل التسليم في الوقت إلى ≥ 80% خلال 90 يوماً.</w:t>
      </w:r>
    </w:p>
    <w:p>
      <w:pPr>
        <w:pStyle w:val="ListParagraph"/>
        <w:numPr>
          <w:ilvl w:val="0"/>
          <w:numId w:val="2"/>
        </w:numPr>
        <w:spacing w:after="100"/>
        <w:jc w:val="right"/>
      </w:pPr>
      <w:r>
        <w:rPr>
          <w:rFonts w:ascii="Arial" w:cs="Arial" w:eastAsia="Arial" w:hAnsi="Arial"/>
          <w:b w:val="false"/>
          <w:bCs w:val="false"/>
          <w:color w:val="000000"/>
          <w:sz w:val="22"/>
          <w:szCs w:val="22"/>
        </w:rPr>
        <w:t xml:space="preserve">تنويع قنوات البيع وتقليل الاعتماد على هومرمارت إلى ≤ 50% خلال 6 أشهر.</w:t>
      </w:r>
    </w:p>
    <w:p>
      <w:pPr>
        <w:pStyle w:val="ListParagraph"/>
        <w:numPr>
          <w:ilvl w:val="0"/>
          <w:numId w:val="2"/>
        </w:numPr>
        <w:spacing w:after="100"/>
        <w:jc w:val="right"/>
      </w:pPr>
      <w:r>
        <w:rPr>
          <w:rFonts w:ascii="Arial" w:cs="Arial" w:eastAsia="Arial" w:hAnsi="Arial"/>
          <w:b w:val="false"/>
          <w:bCs w:val="false"/>
          <w:color w:val="000000"/>
          <w:sz w:val="22"/>
          <w:szCs w:val="22"/>
        </w:rPr>
        <w:t xml:space="preserve">فتح قناة B2B مع الشركات والمطورين العقاريين للمضاعفة الفورية في الإيرادات.</w:t>
      </w:r>
    </w:p>
    <w:p>
      <w:pPr>
        <w:pStyle w:val="ListParagraph"/>
        <w:numPr>
          <w:ilvl w:val="0"/>
          <w:numId w:val="2"/>
        </w:numPr>
        <w:spacing w:after="100"/>
        <w:jc w:val="right"/>
      </w:pPr>
      <w:r>
        <w:rPr>
          <w:rFonts w:ascii="Arial" w:cs="Arial" w:eastAsia="Arial" w:hAnsi="Arial"/>
          <w:b w:val="false"/>
          <w:bCs w:val="false"/>
          <w:color w:val="000000"/>
          <w:sz w:val="22"/>
          <w:szCs w:val="22"/>
        </w:rPr>
        <w:t xml:space="preserve">تصحيح بيانات 'غير موجود' وتطبيق نظام تصنيف صارم لكل طلب جديد.</w:t>
      </w:r>
    </w:p>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ثانياً: مؤشرات الأداء الرئيسية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المؤشر</w:t>
            </w:r>
          </w:p>
        </w:tc>
        <w:tc>
          <w:tcPr>
            <w:tcW w:type="dxa" w:w="2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القيمة</w:t>
            </w:r>
          </w:p>
        </w:tc>
        <w:tc>
          <w:tcPr>
            <w:tcW w:type="dxa" w:w="2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التقييم</w:t>
            </w:r>
          </w:p>
        </w:tc>
        <w:tc>
          <w:tcPr>
            <w:tcW w:type="dxa" w:w="216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التأثير</w:t>
            </w:r>
          </w:p>
        </w:tc>
      </w:tr>
      <w:tr>
        <w:tc>
          <w:tcPr>
            <w:tcW w:type="dxa" w:w="320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إجمالي المبيعات</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1.25M جنيه</w:t>
            </w:r>
          </w:p>
        </w:tc>
        <w:tc>
          <w:tcPr>
            <w:tcW w:type="dxa" w:w="2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bCs/>
                <w:i w:val="false"/>
                <w:iCs w:val="false"/>
                <w:color w:val="375623"/>
                <w:sz w:val="20"/>
                <w:szCs w:val="20"/>
              </w:rPr>
              <w:t xml:space="preserve">جيد</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الرقم الأساسي لقياس الأداء — يعكس طلباً حقيقياً</w:t>
            </w:r>
          </w:p>
        </w:tc>
      </w:tr>
      <w:tr>
        <w:tc>
          <w:tcPr>
            <w:tcW w:type="dxa" w:w="3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إجمالي الطلبات</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120 طلب</w:t>
            </w:r>
          </w:p>
        </w:tc>
        <w:tc>
          <w:tcPr>
            <w:tcW w:type="dxa" w:w="2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ED7D31"/>
                <w:sz w:val="20"/>
                <w:szCs w:val="20"/>
              </w:rPr>
              <w:t xml:space="preserve">مقبول</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معدل 24 طلب/شهر — يحتمل التضاعف مع تحسين التسليم</w:t>
            </w:r>
          </w:p>
        </w:tc>
      </w:tr>
      <w:tr>
        <w:tc>
          <w:tcPr>
            <w:tcW w:type="dxa" w:w="320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إجمالي العملاء</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76 عميل</w:t>
            </w:r>
          </w:p>
        </w:tc>
        <w:tc>
          <w:tcPr>
            <w:tcW w:type="dxa" w:w="2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ED7D31"/>
                <w:sz w:val="20"/>
                <w:szCs w:val="20"/>
              </w:rPr>
              <w:t xml:space="preserve">مقبول</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متوسط إنفاق العميل 16,447 جنيه — قاعدة مربحة</w:t>
            </w:r>
          </w:p>
        </w:tc>
      </w:tr>
      <w:tr>
        <w:tc>
          <w:tcPr>
            <w:tcW w:type="dxa" w:w="3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متوسط سعر البيع</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10,000 جنيه</w:t>
            </w:r>
          </w:p>
        </w:tc>
        <w:tc>
          <w:tcPr>
            <w:tcW w:type="dxa" w:w="2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bCs/>
                <w:i w:val="false"/>
                <w:iCs w:val="false"/>
                <w:color w:val="375623"/>
                <w:sz w:val="20"/>
                <w:szCs w:val="20"/>
              </w:rPr>
              <w:t xml:space="preserve">جيد</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يُشير إلى منتجات متوسطة–راقية تستهدف شريحة مميزة</w:t>
            </w:r>
          </w:p>
        </w:tc>
      </w:tr>
      <w:tr>
        <w:tc>
          <w:tcPr>
            <w:tcW w:type="dxa" w:w="320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معدل التسليم في الوقت</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49.17%</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bCs/>
                <w:i w:val="false"/>
                <w:iCs w:val="false"/>
                <w:color w:val="C00000"/>
                <w:sz w:val="20"/>
                <w:szCs w:val="20"/>
              </w:rPr>
              <w:t xml:space="preserve">حرج</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أقل من نصف الطلبات تُسلَّم في الوقت — خطر على السمعة</w:t>
            </w:r>
          </w:p>
        </w:tc>
      </w:tr>
      <w:tr>
        <w:tc>
          <w:tcPr>
            <w:tcW w:type="dxa" w:w="3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معدل التسليم المتأخر</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50.83%</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bCs/>
                <w:i w:val="false"/>
                <w:iCs w:val="false"/>
                <w:color w:val="C00000"/>
                <w:sz w:val="20"/>
                <w:szCs w:val="20"/>
              </w:rPr>
              <w:t xml:space="preserve">حرج</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طلب من كل اثنين يتأخر — يُكلّف الشركة عملاء ومبيعات</w:t>
            </w:r>
          </w:p>
        </w:tc>
      </w:tr>
      <w:tr>
        <w:tc>
          <w:tcPr>
            <w:tcW w:type="dxa" w:w="320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معدل فشل التسليم</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19.2%</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bCs/>
                <w:i w:val="false"/>
                <w:iCs w:val="false"/>
                <w:color w:val="C00000"/>
                <w:sz w:val="20"/>
                <w:szCs w:val="20"/>
              </w:rPr>
              <w:t xml:space="preserve">ضعيف</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23 طلباً فاشلاً من 120 — خسارة إيراد مباشرة</w:t>
            </w:r>
          </w:p>
        </w:tc>
      </w:tr>
      <w:tr>
        <w:tc>
          <w:tcPr>
            <w:tcW w:type="dxa" w:w="3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1F4E79"/>
                <w:sz w:val="20"/>
                <w:szCs w:val="20"/>
              </w:rPr>
              <w:t xml:space="preserve">إجمالي الكمية</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0000"/>
                <w:sz w:val="22"/>
                <w:szCs w:val="22"/>
              </w:rPr>
              <w:t xml:space="preserve">144 وحدة</w:t>
            </w:r>
          </w:p>
        </w:tc>
        <w:tc>
          <w:tcPr>
            <w:tcW w:type="dxa" w:w="2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ED7D31"/>
                <w:sz w:val="20"/>
                <w:szCs w:val="20"/>
              </w:rPr>
              <w:t xml:space="preserve">مقبول</w:t>
            </w:r>
          </w:p>
        </w:tc>
        <w:tc>
          <w:tcPr>
            <w:tcW w:type="dxa" w:w="2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9"/>
                <w:szCs w:val="19"/>
              </w:rPr>
              <w:t xml:space="preserve">متوسط 1.2 وحدة/طلب — فرصة لزيادة الطلب الواحد</w:t>
            </w:r>
          </w:p>
        </w:tc>
      </w:tr>
    </w:tbl>
    <w:p>
      <w:r>
        <w:t xml:space="preserve"/>
      </w:r>
    </w:p>
    <w:p>
      <w:pPr>
        <w:spacing w:after="160"/>
        <w:jc w:val="right"/>
      </w:pPr>
      <w:r>
        <w:rPr>
          <w:rFonts w:ascii="Arial" w:cs="Arial" w:eastAsia="Arial" w:hAnsi="Arial"/>
          <w:b w:val="false"/>
          <w:bCs w:val="false"/>
          <w:i/>
          <w:iCs/>
          <w:color w:val="595959"/>
          <w:sz w:val="22"/>
          <w:szCs w:val="22"/>
        </w:rPr>
        <w:t xml:space="preserve">ملاحظة تحليلية: غياب مقارنة بالفترة السابقة (Prior Period) يُعيق قياس النمو الفعلي. يُوصى بإضافة مؤشرات MoM% وYoY% لكل KPI في الداشبورد.</w:t>
      </w:r>
    </w:p>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ثالثاً: تحليل الإيرادات والمبيعات</w:t>
      </w:r>
    </w:p>
    <w:p>
      <w:pPr>
        <w:spacing w:after="160" w:before="240"/>
        <w:jc w:val="right"/>
      </w:pPr>
      <w:r>
        <w:rPr>
          <w:rFonts w:ascii="Arial" w:cs="Arial" w:eastAsia="Arial" w:hAnsi="Arial"/>
          <w:b/>
          <w:bCs/>
          <w:color w:val="2E75B6"/>
          <w:sz w:val="26"/>
          <w:szCs w:val="26"/>
        </w:rPr>
        <w:t xml:space="preserve">3.1 أداء المنتجات حسب الفئة والفئة الفرعية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الفئة / المنتج</w:t>
            </w:r>
          </w:p>
        </w:tc>
        <w:tc>
          <w:tcPr>
            <w:tcW w:type="dxa" w:w="2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المبيعات</w:t>
            </w:r>
          </w:p>
        </w:tc>
        <w:tc>
          <w:tcPr>
            <w:tcW w:type="dxa" w:w="2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الحصة %</w:t>
            </w:r>
          </w:p>
        </w:tc>
        <w:tc>
          <w:tcPr>
            <w:tcW w:type="dxa" w:w="236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التقييم</w:t>
            </w:r>
          </w:p>
        </w:tc>
      </w:tr>
      <w:tr>
        <w:tc>
          <w:tcPr>
            <w:tcW w:type="dxa" w:w="3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375623"/>
                <w:sz w:val="20"/>
                <w:szCs w:val="20"/>
              </w:rPr>
              <w:t xml:space="preserve">سرير (الفئة الرئيسية)</w:t>
            </w:r>
          </w:p>
        </w:tc>
        <w:tc>
          <w:tcPr>
            <w:tcW w:type="dxa" w:w="2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902,000 جنيه</w:t>
            </w:r>
          </w:p>
        </w:tc>
        <w:tc>
          <w:tcPr>
            <w:tcW w:type="dxa" w:w="2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72.2%</w:t>
            </w:r>
          </w:p>
        </w:tc>
        <w:tc>
          <w:tcPr>
            <w:tcW w:type="dxa" w:w="23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الأفضل أداءً ✓</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كنبة</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159,000 جنيه</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12.7%</w:t>
            </w:r>
          </w:p>
        </w:tc>
        <w:tc>
          <w:tcPr>
            <w:tcW w:type="dxa" w:w="23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جيد ✓</w:t>
            </w:r>
          </w:p>
        </w:tc>
      </w:tr>
      <w:tr>
        <w:tc>
          <w:tcPr>
            <w:tcW w:type="dxa" w:w="3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ترابيزة</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151,000 جنيه</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12.1%</w:t>
            </w:r>
          </w:p>
        </w:tc>
        <w:tc>
          <w:tcPr>
            <w:tcW w:type="dxa" w:w="236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جيد ✓</w:t>
            </w:r>
          </w:p>
        </w:tc>
      </w:tr>
      <w:tr>
        <w:tc>
          <w:tcPr>
            <w:tcW w:type="dxa" w:w="3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20"/>
                <w:szCs w:val="20"/>
              </w:rPr>
              <w:t xml:space="preserve">ركنة</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22,000 جنيه</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1.8%</w:t>
            </w:r>
          </w:p>
        </w:tc>
        <w:tc>
          <w:tcPr>
            <w:tcW w:type="dxa" w:w="23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ضعيف ▼</w:t>
            </w:r>
          </w:p>
        </w:tc>
      </w:tr>
      <w:tr>
        <w:tc>
          <w:tcPr>
            <w:tcW w:type="dxa" w:w="3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20"/>
                <w:szCs w:val="20"/>
              </w:rPr>
              <w:t xml:space="preserve">شيزلونج</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10,000 جنيه</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0.8%</w:t>
            </w:r>
          </w:p>
        </w:tc>
        <w:tc>
          <w:tcPr>
            <w:tcW w:type="dxa" w:w="23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ضعيف جداً ▼</w:t>
            </w:r>
          </w:p>
        </w:tc>
      </w:tr>
      <w:tr>
        <w:tc>
          <w:tcPr>
            <w:tcW w:type="dxa" w:w="3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20"/>
                <w:szCs w:val="20"/>
              </w:rPr>
              <w:t xml:space="preserve">فوتيه</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9,000 جنيه</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0.7%</w:t>
            </w:r>
          </w:p>
        </w:tc>
        <w:tc>
          <w:tcPr>
            <w:tcW w:type="dxa" w:w="23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ضعيف جداً ▼</w:t>
            </w:r>
          </w:p>
        </w:tc>
      </w:tr>
    </w:tbl>
    <w:p>
      <w:r>
        <w:t xml:space="preserve"/>
      </w:r>
    </w:p>
    <w:p>
      <w:pPr>
        <w:spacing w:after="160"/>
        <w:jc w:val="right"/>
      </w:pPr>
      <w:r>
        <w:rPr>
          <w:rFonts w:ascii="Arial" w:cs="Arial" w:eastAsia="Arial" w:hAnsi="Arial"/>
          <w:b w:val="false"/>
          <w:bCs w:val="false"/>
          <w:i w:val="false"/>
          <w:iCs w:val="false"/>
          <w:color w:val="595959"/>
          <w:sz w:val="22"/>
          <w:szCs w:val="22"/>
        </w:rPr>
        <w:t xml:space="preserve">الاستنتاج: السرير يُهيمن على 72% من المبيعات مما يجعله المنتج الاستراتيجي الأول. أي نقص في مخزونه يتحول مباشرة إلى خسارة في الإيراد. في المقابل، الفئات الذيلية (ركنة/شيزلونج/فوتيه) مجتمعةً لا تتجاوز 3.3% من المبيعات وتستهلك موارد المخزون والإدارة.</w:t>
      </w:r>
    </w:p>
    <w:p>
      <w:pPr>
        <w:spacing w:after="160" w:before="240"/>
        <w:jc w:val="right"/>
      </w:pPr>
      <w:r>
        <w:rPr>
          <w:rFonts w:ascii="Arial" w:cs="Arial" w:eastAsia="Arial" w:hAnsi="Arial"/>
          <w:b/>
          <w:bCs/>
          <w:color w:val="2E75B6"/>
          <w:sz w:val="26"/>
          <w:szCs w:val="26"/>
        </w:rPr>
        <w:t xml:space="preserve">3.2 أداء منصات البيع (قنوات التوزيع)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900"/>
        <w:gridCol w:w="2460"/>
      </w:tblGrid>
      <w:tr>
        <w:trPr>
          <w:tblHeader/>
        </w:trPr>
        <w:tc>
          <w:tcPr>
            <w:tcW w:type="dxa" w:w="28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المنصة</w:t>
            </w:r>
          </w:p>
        </w:tc>
        <w:tc>
          <w:tcPr>
            <w:tcW w:type="dxa" w:w="22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المبيعات</w:t>
            </w:r>
          </w:p>
        </w:tc>
        <w:tc>
          <w:tcPr>
            <w:tcW w:type="dxa" w:w="19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الحصة %</w:t>
            </w:r>
          </w:p>
        </w:tc>
        <w:tc>
          <w:tcPr>
            <w:tcW w:type="dxa" w:w="246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المخاطر</w:t>
            </w:r>
          </w:p>
        </w:tc>
      </w:tr>
      <w:tr>
        <w:tc>
          <w:tcPr>
            <w:tcW w:type="dxa" w:w="28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right"/>
            </w:pPr>
            <w:r>
              <w:rPr>
                <w:rFonts w:ascii="Arial" w:cs="Arial" w:eastAsia="Arial" w:hAnsi="Arial"/>
                <w:b/>
                <w:bCs/>
                <w:i w:val="false"/>
                <w:iCs w:val="false"/>
                <w:color w:val="ED7D31"/>
                <w:sz w:val="20"/>
                <w:szCs w:val="20"/>
              </w:rPr>
              <w:t xml:space="preserve">هومرمارت</w:t>
            </w:r>
          </w:p>
        </w:tc>
        <w:tc>
          <w:tcPr>
            <w:tcW w:type="dxa" w:w="22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D7D31"/>
                <w:sz w:val="20"/>
                <w:szCs w:val="20"/>
              </w:rPr>
              <w:t xml:space="preserve">869,000 جنيه</w:t>
            </w:r>
          </w:p>
        </w:tc>
        <w:tc>
          <w:tcPr>
            <w:tcW w:type="dxa" w:w="19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D7D31"/>
                <w:sz w:val="20"/>
                <w:szCs w:val="20"/>
              </w:rPr>
              <w:t xml:space="preserve">69.5%</w:t>
            </w:r>
          </w:p>
        </w:tc>
        <w:tc>
          <w:tcPr>
            <w:tcW w:type="dxa" w:w="246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D7D31"/>
                <w:sz w:val="20"/>
                <w:szCs w:val="20"/>
              </w:rPr>
              <w:t xml:space="preserve">⚠️ تركز خطير</w:t>
            </w:r>
          </w:p>
        </w:tc>
      </w:tr>
      <w:tr>
        <w:tc>
          <w:tcPr>
            <w:tcW w:type="dxa" w:w="28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شيك هومز</w:t>
            </w:r>
          </w:p>
        </w:tc>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182,000 جنيه</w:t>
            </w:r>
          </w:p>
        </w:tc>
        <w:tc>
          <w:tcPr>
            <w:tcW w:type="dxa" w:w="19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14.6%</w:t>
            </w:r>
          </w:p>
        </w:tc>
        <w:tc>
          <w:tcPr>
            <w:tcW w:type="dxa" w:w="24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جيد — احتياطي</w:t>
            </w:r>
          </w:p>
        </w:tc>
      </w:tr>
      <w:tr>
        <w:tc>
          <w:tcPr>
            <w:tcW w:type="dxa" w:w="28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ناكي</w:t>
            </w:r>
          </w:p>
        </w:tc>
        <w:tc>
          <w:tcPr>
            <w:tcW w:type="dxa" w:w="2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71,000 جنيه</w:t>
            </w:r>
          </w:p>
        </w:tc>
        <w:tc>
          <w:tcPr>
            <w:tcW w:type="dxa" w:w="19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5.7%</w:t>
            </w:r>
          </w:p>
        </w:tc>
        <w:tc>
          <w:tcPr>
            <w:tcW w:type="dxa" w:w="246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منخفض — فرصة للتطوير</w:t>
            </w:r>
          </w:p>
        </w:tc>
      </w:tr>
      <w:tr>
        <w:tc>
          <w:tcPr>
            <w:tcW w:type="dxa" w:w="28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أوسكار رتن</w:t>
            </w:r>
          </w:p>
        </w:tc>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55,000 جنيه</w:t>
            </w:r>
          </w:p>
        </w:tc>
        <w:tc>
          <w:tcPr>
            <w:tcW w:type="dxa" w:w="19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24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منخفض</w:t>
            </w:r>
          </w:p>
        </w:tc>
      </w:tr>
      <w:tr>
        <w:tc>
          <w:tcPr>
            <w:tcW w:type="dxa" w:w="28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السويس</w:t>
            </w:r>
          </w:p>
        </w:tc>
        <w:tc>
          <w:tcPr>
            <w:tcW w:type="dxa" w:w="2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33,000 جنيه</w:t>
            </w:r>
          </w:p>
        </w:tc>
        <w:tc>
          <w:tcPr>
            <w:tcW w:type="dxa" w:w="19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246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هامشي</w:t>
            </w:r>
          </w:p>
        </w:tc>
      </w:tr>
      <w:tr>
        <w:tc>
          <w:tcPr>
            <w:tcW w:type="dxa" w:w="28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أخرى (فيسبوك+منزلي+كيمت)</w:t>
            </w:r>
          </w:p>
        </w:tc>
        <w:tc>
          <w:tcPr>
            <w:tcW w:type="dxa" w:w="2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44,000 جنيه</w:t>
            </w:r>
          </w:p>
        </w:tc>
        <w:tc>
          <w:tcPr>
            <w:tcW w:type="dxa" w:w="19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24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قنوات ناشئة</w:t>
            </w:r>
          </w:p>
        </w:tc>
      </w:tr>
    </w:tbl>
    <w:p>
      <w:r>
        <w:t xml:space="preserve"/>
      </w:r>
    </w:p>
    <w:p>
      <w:pPr>
        <w:spacing w:after="160" w:before="240"/>
        <w:jc w:val="right"/>
      </w:pPr>
      <w:r>
        <w:rPr>
          <w:rFonts w:ascii="Arial" w:cs="Arial" w:eastAsia="Arial" w:hAnsi="Arial"/>
          <w:b/>
          <w:bCs/>
          <w:color w:val="2E75B6"/>
          <w:sz w:val="26"/>
          <w:szCs w:val="26"/>
        </w:rPr>
        <w:t xml:space="preserve">3.3 الأداء الجغرافي (حسب المحافظة)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المنطقة</w:t>
            </w:r>
          </w:p>
        </w:tc>
        <w:tc>
          <w:tcPr>
            <w:tcW w:type="dxa" w:w="2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المبيعات</w:t>
            </w:r>
          </w:p>
        </w:tc>
        <w:tc>
          <w:tcPr>
            <w:tcW w:type="dxa" w:w="416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الاستنتاج الاستراتيجي</w:t>
            </w:r>
          </w:p>
        </w:tc>
      </w:tr>
      <w:tr>
        <w:tc>
          <w:tcPr>
            <w:tcW w:type="dxa" w:w="3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375623"/>
                <w:sz w:val="20"/>
                <w:szCs w:val="20"/>
              </w:rPr>
              <w:t xml:space="preserve">القاهرة الجديدة</w:t>
            </w:r>
          </w:p>
        </w:tc>
        <w:tc>
          <w:tcPr>
            <w:tcW w:type="dxa" w:w="2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199,000 جنيه</w:t>
            </w:r>
          </w:p>
        </w:tc>
        <w:tc>
          <w:tcPr>
            <w:tcW w:type="dxa" w:w="41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المركز الرئيسي — تجمعات سكنية جديدة عالية الطلب</w:t>
            </w:r>
          </w:p>
        </w:tc>
      </w:tr>
      <w:tr>
        <w:tc>
          <w:tcPr>
            <w:tcW w:type="dxa" w:w="3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6 أكتوبر</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116,000 جنيه</w:t>
            </w:r>
          </w:p>
        </w:tc>
        <w:tc>
          <w:tcPr>
            <w:tcW w:type="dxa" w:w="4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ثاني أعلى منطقة — مناطق مدن الجيل الثالث</w:t>
            </w:r>
          </w:p>
        </w:tc>
      </w:tr>
      <w:tr>
        <w:tc>
          <w:tcPr>
            <w:tcW w:type="dxa" w:w="32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20"/>
                <w:szCs w:val="20"/>
              </w:rPr>
              <w:t xml:space="preserve">غير محدد</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90,000 جنيه</w:t>
            </w:r>
          </w:p>
        </w:tc>
        <w:tc>
          <w:tcPr>
            <w:tcW w:type="dxa" w:w="41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C00000"/>
                <w:sz w:val="20"/>
                <w:szCs w:val="20"/>
              </w:rPr>
              <w:t xml:space="preserve">7.2% من المبيعات — بيانات ناقصة تحتاج تصحيح</w:t>
            </w:r>
          </w:p>
        </w:tc>
      </w:tr>
      <w:tr>
        <w:tc>
          <w:tcPr>
            <w:tcW w:type="dxa" w:w="3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العباسية</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80,000 جنيه</w:t>
            </w:r>
          </w:p>
        </w:tc>
        <w:tc>
          <w:tcPr>
            <w:tcW w:type="dxa" w:w="416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منطقة وسط القاهرة — قدرة شرائية مرتفعة</w:t>
            </w:r>
          </w:p>
        </w:tc>
      </w:tr>
      <w:tr>
        <w:tc>
          <w:tcPr>
            <w:tcW w:type="dxa" w:w="3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المعادي</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47,000 جنيه</w:t>
            </w:r>
          </w:p>
        </w:tc>
        <w:tc>
          <w:tcPr>
            <w:tcW w:type="dxa" w:w="4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منطقة راقية — فرصة للمنتجات الفاخرة</w:t>
            </w:r>
          </w:p>
        </w:tc>
      </w:tr>
      <w:tr>
        <w:tc>
          <w:tcPr>
            <w:tcW w:type="dxa" w:w="3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باقي المناطق (9 مناطق)</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723,000 جنيه</w:t>
            </w:r>
          </w:p>
        </w:tc>
        <w:tc>
          <w:tcPr>
            <w:tcW w:type="dxa" w:w="416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تنوع جغرافي جيد — يحتاج تعميق التواجد</w:t>
            </w:r>
          </w:p>
        </w:tc>
      </w:tr>
    </w:tbl>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رابعاً: تحليل المشكلات والخسائر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FF0F0" w:val="clear"/>
            <w:tcMar>
              <w:top w:type="dxa" w:w="160"/>
              <w:left w:type="dxa" w:w="200"/>
              <w:bottom w:type="dxa" w:w="160"/>
              <w:right w:type="dxa" w:w="200"/>
            </w:tcMar>
          </w:tcPr>
          <w:p>
            <w:pPr>
              <w:spacing w:after="100"/>
              <w:jc w:val="right"/>
            </w:pPr>
            <w:r>
              <w:rPr>
                <w:rFonts w:ascii="Arial" w:cs="Arial" w:eastAsia="Arial" w:hAnsi="Arial"/>
                <w:b/>
                <w:bCs/>
                <w:color w:val="C00000"/>
                <w:sz w:val="26"/>
                <w:szCs w:val="26"/>
              </w:rPr>
              <w:t xml:space="preserve">🔴 المشكلة الأولى: أزمة التسليم (الأخطر والأعجل)</w:t>
            </w:r>
          </w:p>
          <w:p>
            <w:pPr>
              <w:spacing w:after="60"/>
              <w:jc w:val="right"/>
            </w:pPr>
            <w:r>
              <w:rPr>
                <w:rFonts w:ascii="Arial" w:cs="Arial" w:eastAsia="Arial" w:hAnsi="Arial"/>
                <w:sz w:val="22"/>
                <w:szCs w:val="22"/>
              </w:rPr>
              <w:t xml:space="preserve">المشكلة: معدل التسليم في الوقت 49.17% (61 من 120 طلب) ومعدل فشل التسليم 19.2% (23 طلب).</w:t>
            </w:r>
          </w:p>
          <w:p>
            <w:pPr>
              <w:spacing w:after="60"/>
              <w:jc w:val="right"/>
            </w:pPr>
            <w:r>
              <w:rPr>
                <w:rFonts w:ascii="Arial" w:cs="Arial" w:eastAsia="Arial" w:hAnsi="Arial"/>
                <w:sz w:val="22"/>
                <w:szCs w:val="22"/>
              </w:rPr>
              <w:t xml:space="preserve">الأسباب المحتملة: ضعف في شبكة التوصيل والخدمات اللوجستية، نقص في التنسيق بين المستودع وفرق التوصيل، عدم دقة في التنبؤ بأوقات التسليم.</w:t>
            </w:r>
          </w:p>
          <w:p>
            <w:pPr>
              <w:spacing w:after="60"/>
              <w:jc w:val="right"/>
            </w:pPr>
            <w:r>
              <w:rPr>
                <w:rFonts w:ascii="Arial" w:cs="Arial" w:eastAsia="Arial" w:hAnsi="Arial"/>
                <w:color w:val="C00000"/>
                <w:sz w:val="22"/>
                <w:szCs w:val="22"/>
              </w:rPr>
              <w:t xml:space="preserve">التأثير: كل طلب متأخر يخاطر بفقدان عميل وتقييم سلبي. مع 23 طلب فاشل × متوسط قيمة 10,000 جنيه = 230,000 جنيه إيراد مهدد سنوياً.</w:t>
            </w:r>
          </w:p>
          <w:p>
            <w:pPr>
              <w:spacing w:after="0"/>
              <w:jc w:val="right"/>
            </w:pPr>
            <w:r>
              <w:rPr>
                <w:rFonts w:ascii="Arial" w:cs="Arial" w:eastAsia="Arial" w:hAnsi="Arial"/>
                <w:color w:val="375623"/>
                <w:sz w:val="22"/>
                <w:szCs w:val="22"/>
              </w:rPr>
              <w:t xml:space="preserve">الحل: تعاقد مع شركة توصيل متخصصة في الأثاث + نظام تتبع الشحنات + KPI أسبوعي لمعدل التسليم.</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6"/>
              <w:left w:val="single" w:color="ED7D31" w:sz="6"/>
              <w:bottom w:val="single" w:color="ED7D31" w:sz="6"/>
              <w:right w:val="single" w:color="ED7D31" w:sz="6"/>
            </w:tcBorders>
            <w:shd w:fill="FFF2CC" w:val="clear"/>
            <w:tcMar>
              <w:top w:type="dxa" w:w="160"/>
              <w:left w:type="dxa" w:w="200"/>
              <w:bottom w:type="dxa" w:w="160"/>
              <w:right w:type="dxa" w:w="200"/>
            </w:tcMar>
          </w:tcPr>
          <w:p>
            <w:pPr>
              <w:spacing w:after="100"/>
              <w:jc w:val="right"/>
            </w:pPr>
            <w:r>
              <w:rPr>
                <w:rFonts w:ascii="Arial" w:cs="Arial" w:eastAsia="Arial" w:hAnsi="Arial"/>
                <w:b/>
                <w:bCs/>
                <w:color w:val="ED7D31"/>
                <w:sz w:val="26"/>
                <w:szCs w:val="26"/>
              </w:rPr>
              <w:t xml:space="preserve">🟠 المشكلة الثانية: التركز الحاد في قناة توزيع واحدة</w:t>
            </w:r>
          </w:p>
          <w:p>
            <w:pPr>
              <w:spacing w:after="60"/>
              <w:jc w:val="right"/>
            </w:pPr>
            <w:r>
              <w:rPr>
                <w:rFonts w:ascii="Arial" w:cs="Arial" w:eastAsia="Arial" w:hAnsi="Arial"/>
                <w:sz w:val="22"/>
                <w:szCs w:val="22"/>
              </w:rPr>
              <w:t xml:space="preserve">المشكلة: هومرمارت تمثل 70% من إجمالي الإيرادات (869,000 جنيه). إذا غيّرت المنصة سياساتها أو رفعت عمولاتها أو توقفت — ستفقد الشركة 70% من دخلها فوراً.</w:t>
            </w:r>
          </w:p>
          <w:p>
            <w:pPr>
              <w:spacing w:after="0"/>
              <w:jc w:val="right"/>
            </w:pPr>
            <w:r>
              <w:rPr>
                <w:rFonts w:ascii="Arial" w:cs="Arial" w:eastAsia="Arial" w:hAnsi="Arial"/>
                <w:color w:val="375623"/>
                <w:sz w:val="22"/>
                <w:szCs w:val="22"/>
              </w:rPr>
              <w:t xml:space="preserve">الحل: بناء قنوات موازية خلال 6 أشهر: موقع إلكتروني مباشر، قناة WhatsApp Business، التعاقد مع شركتين توزيع إضافيتين على الأقل.</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EEAF1" w:val="clear"/>
            <w:tcMar>
              <w:top w:type="dxa" w:w="160"/>
              <w:left w:type="dxa" w:w="200"/>
              <w:bottom w:type="dxa" w:w="160"/>
              <w:right w:type="dxa" w:w="200"/>
            </w:tcMar>
          </w:tcPr>
          <w:p>
            <w:pPr>
              <w:spacing w:after="100"/>
              <w:jc w:val="right"/>
            </w:pPr>
            <w:r>
              <w:rPr>
                <w:rFonts w:ascii="Arial" w:cs="Arial" w:eastAsia="Arial" w:hAnsi="Arial"/>
                <w:b/>
                <w:bCs/>
                <w:color w:val="2E75B6"/>
                <w:sz w:val="26"/>
                <w:szCs w:val="26"/>
              </w:rPr>
              <w:t xml:space="preserve">🔵 المشكلة الثالثة: جودة البيانات والتصنيف</w:t>
            </w:r>
          </w:p>
          <w:p>
            <w:pPr>
              <w:spacing w:after="60"/>
              <w:jc w:val="right"/>
            </w:pPr>
            <w:r>
              <w:rPr>
                <w:rFonts w:ascii="Arial" w:cs="Arial" w:eastAsia="Arial" w:hAnsi="Arial"/>
                <w:sz w:val="22"/>
                <w:szCs w:val="22"/>
              </w:rPr>
              <w:t xml:space="preserve">• 8.5% من المبيعات (106K) في فئة 'غير موجود' = بيانات ناقصة.</w:t>
            </w:r>
          </w:p>
          <w:p>
            <w:pPr>
              <w:spacing w:after="60"/>
              <w:jc w:val="right"/>
            </w:pPr>
            <w:r>
              <w:rPr>
                <w:rFonts w:ascii="Arial" w:cs="Arial" w:eastAsia="Arial" w:hAnsi="Arial"/>
                <w:sz w:val="22"/>
                <w:szCs w:val="22"/>
              </w:rPr>
              <w:t xml:space="preserve">• 28% من مبيعات الألوان 'غير محدد' (352K) = ربع المبيعات بلا تصنيف لوني.</w:t>
            </w:r>
          </w:p>
          <w:p>
            <w:pPr>
              <w:spacing w:after="60"/>
              <w:jc w:val="right"/>
            </w:pPr>
            <w:r>
              <w:rPr>
                <w:rFonts w:ascii="Arial" w:cs="Arial" w:eastAsia="Arial" w:hAnsi="Arial"/>
                <w:sz w:val="22"/>
                <w:szCs w:val="22"/>
              </w:rPr>
              <w:t xml:space="preserve">• 21.6% من الطلبات (26 طلب) بلا تاريخ = Blank في الفلاتر والتحليل الزمني.</w:t>
            </w:r>
          </w:p>
          <w:p>
            <w:pPr>
              <w:spacing w:after="0"/>
              <w:jc w:val="right"/>
            </w:pPr>
            <w:r>
              <w:rPr>
                <w:rFonts w:ascii="Arial" w:cs="Arial" w:eastAsia="Arial" w:hAnsi="Arial"/>
                <w:color w:val="375623"/>
                <w:sz w:val="22"/>
                <w:szCs w:val="22"/>
              </w:rPr>
              <w:t xml:space="preserve">الحل: تطبيق نظام إدخال بيانات إلزامي + Power Query لتنظيف الأعمدة الفارغة + مراجعة شهرية لجودة البيانات.</w:t>
            </w:r>
          </w:p>
        </w:tc>
      </w:tr>
    </w:tbl>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خامساً: العوامل المحققة لأعلى المبيعات</w:t>
      </w:r>
    </w:p>
    <w:p>
      <w:pPr>
        <w:spacing w:after="160"/>
        <w:jc w:val="right"/>
      </w:pPr>
      <w:r>
        <w:rPr>
          <w:rFonts w:ascii="Arial" w:cs="Arial" w:eastAsia="Arial" w:hAnsi="Arial"/>
          <w:b w:val="false"/>
          <w:bCs w:val="false"/>
          <w:i w:val="false"/>
          <w:iCs w:val="false"/>
          <w:color w:val="595959"/>
          <w:sz w:val="22"/>
          <w:szCs w:val="22"/>
        </w:rPr>
        <w:t xml:space="preserve">فيما يلي العناصر الاستراتيجية التي يجب التركيز عليها ومضاعفة الاستثمار فيها: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العنصر</w:t>
            </w:r>
          </w:p>
        </w:tc>
        <w:tc>
          <w:tcPr>
            <w:tcW w:type="dxa" w:w="316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القيمة / النتيجة</w:t>
            </w:r>
          </w:p>
        </w:tc>
        <w:tc>
          <w:tcPr>
            <w:tcW w:type="dxa" w:w="4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لماذا يحقق أعلى أداء؟</w:t>
            </w:r>
          </w:p>
        </w:tc>
      </w:tr>
      <w:tr>
        <w:tc>
          <w:tcPr>
            <w:tcW w:type="dxa" w:w="2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375623"/>
                <w:sz w:val="20"/>
                <w:szCs w:val="20"/>
              </w:rPr>
              <w:t xml:space="preserve">أفضل منتج</w:t>
            </w:r>
          </w:p>
        </w:tc>
        <w:tc>
          <w:tcPr>
            <w:tcW w:type="dxa" w:w="31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السرير — 902K (72%)</w:t>
            </w:r>
          </w:p>
        </w:tc>
        <w:tc>
          <w:tcPr>
            <w:tcW w:type="dxa" w:w="4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ضرورة أساسية عند الانتقال والتأثيث — طلب دائم ومتكرر</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أفضل فئة فرعية</w:t>
            </w:r>
          </w:p>
        </w:tc>
        <w:tc>
          <w:tcPr>
            <w:tcW w:type="dxa" w:w="3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كيفنج — 242K</w:t>
            </w:r>
          </w:p>
        </w:tc>
        <w:tc>
          <w:tcPr>
            <w:tcW w:type="dxa" w:w="4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الأكثر طلباً بعد الأسرّة — يُكمّل غرفة المعيشة</w:t>
            </w:r>
          </w:p>
        </w:tc>
      </w:tr>
      <w:tr>
        <w:tc>
          <w:tcPr>
            <w:tcW w:type="dxa" w:w="22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أفضل منصة</w:t>
            </w:r>
          </w:p>
        </w:tc>
        <w:tc>
          <w:tcPr>
            <w:tcW w:type="dxa" w:w="316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هومرمارت — 869K</w:t>
            </w:r>
          </w:p>
        </w:tc>
        <w:tc>
          <w:tcPr>
            <w:tcW w:type="dxa" w:w="4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قاعدة مستخدمين ضخمة + ثقة المشتري + سهولة الاكتشاف</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أفضل منطقة</w:t>
            </w:r>
          </w:p>
        </w:tc>
        <w:tc>
          <w:tcPr>
            <w:tcW w:type="dxa" w:w="3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القاهرة الجديدة — 199K</w:t>
            </w:r>
          </w:p>
        </w:tc>
        <w:tc>
          <w:tcPr>
            <w:tcW w:type="dxa" w:w="4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مناطق توسع عمراني + سكان جدد يحتاجون تأثيث كامل</w:t>
            </w:r>
          </w:p>
        </w:tc>
      </w:tr>
      <w:tr>
        <w:tc>
          <w:tcPr>
            <w:tcW w:type="dxa" w:w="22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أفضل لون</w:t>
            </w:r>
          </w:p>
        </w:tc>
        <w:tc>
          <w:tcPr>
            <w:tcW w:type="dxa" w:w="316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الأسود — 32.15%</w:t>
            </w:r>
          </w:p>
        </w:tc>
        <w:tc>
          <w:tcPr>
            <w:tcW w:type="dxa" w:w="4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ألوان محايدة تناسب معظم ديكورات الشقق الحديثة</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أفضل شهر</w:t>
            </w:r>
          </w:p>
        </w:tc>
        <w:tc>
          <w:tcPr>
            <w:tcW w:type="dxa" w:w="31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أكتوبر — 40 طلب</w:t>
            </w:r>
          </w:p>
        </w:tc>
        <w:tc>
          <w:tcPr>
            <w:tcW w:type="dxa" w:w="4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بداية الموسم الثاني + مناخ مناسب للتسوق والانتقال</w:t>
            </w:r>
          </w:p>
        </w:tc>
      </w:tr>
      <w:tr>
        <w:tc>
          <w:tcPr>
            <w:tcW w:type="dxa" w:w="2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أفضل نوع عميل</w:t>
            </w:r>
          </w:p>
        </w:tc>
        <w:tc>
          <w:tcPr>
            <w:tcW w:type="dxa" w:w="31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أفراد — 94.81%</w:t>
            </w:r>
          </w:p>
        </w:tc>
        <w:tc>
          <w:tcPr>
            <w:tcW w:type="dxa" w:w="4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القطاع الأكبر حجماً والأكثر تكراراً للشراء</w:t>
            </w:r>
          </w:p>
        </w:tc>
      </w:tr>
    </w:tbl>
    <w:p>
      <w:pPr>
        <w:pBdr>
          <w:bottom w:val="single" w:color="2E75B6" w:sz="8" w:space="4"/>
        </w:pBdr>
        <w:spacing w:after="160" w:before="360"/>
        <w:jc w:val="right"/>
      </w:pPr>
      <w:r>
        <w:rPr>
          <w:rFonts w:ascii="Arial" w:cs="Arial" w:eastAsia="Arial" w:hAnsi="Arial"/>
          <w:b/>
          <w:bCs/>
          <w:color w:val="1F4E79"/>
          <w:sz w:val="32"/>
          <w:szCs w:val="32"/>
        </w:rPr>
        <w:t xml:space="preserve">سادساً: مصادر ضعف الأداء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gridSpan w:val="1"/>
            <w:tcBorders>
              <w:top w:val="single" w:color="C00000" w:sz="6"/>
              <w:left w:val="single" w:color="C00000" w:sz="6"/>
              <w:bottom w:val="single" w:color="C00000" w:sz="6"/>
              <w:right w:val="single" w:color="C00000" w:sz="6"/>
            </w:tcBorders>
            <w:shd w:fill="C0000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العنصر</w:t>
            </w:r>
          </w:p>
        </w:tc>
        <w:tc>
          <w:tcPr>
            <w:tcW w:type="dxa" w:w="2000"/>
            <w:gridSpan w:val="1"/>
            <w:tcBorders>
              <w:top w:val="single" w:color="C00000" w:sz="6"/>
              <w:left w:val="single" w:color="C00000" w:sz="6"/>
              <w:bottom w:val="single" w:color="C00000" w:sz="6"/>
              <w:right w:val="single" w:color="C00000" w:sz="6"/>
            </w:tcBorders>
            <w:shd w:fill="C0000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حجم التأثير</w:t>
            </w:r>
          </w:p>
        </w:tc>
        <w:tc>
          <w:tcPr>
            <w:tcW w:type="dxa" w:w="2500"/>
            <w:gridSpan w:val="1"/>
            <w:tcBorders>
              <w:top w:val="single" w:color="C00000" w:sz="6"/>
              <w:left w:val="single" w:color="C00000" w:sz="6"/>
              <w:bottom w:val="single" w:color="C00000" w:sz="6"/>
              <w:right w:val="single" w:color="C00000" w:sz="6"/>
            </w:tcBorders>
            <w:shd w:fill="C0000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التوصية</w:t>
            </w:r>
          </w:p>
        </w:tc>
        <w:tc>
          <w:tcPr>
            <w:tcW w:type="dxa" w:w="2360"/>
            <w:gridSpan w:val="1"/>
            <w:tcBorders>
              <w:top w:val="single" w:color="C00000" w:sz="6"/>
              <w:left w:val="single" w:color="C00000" w:sz="6"/>
              <w:bottom w:val="single" w:color="C00000" w:sz="6"/>
              <w:right w:val="single" w:color="C00000" w:sz="6"/>
            </w:tcBorders>
            <w:shd w:fill="C0000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القرار</w:t>
            </w:r>
          </w:p>
        </w:tc>
      </w:tr>
      <w:tr>
        <w:tc>
          <w:tcPr>
            <w:tcW w:type="dxa" w:w="25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فشل التسليم (23 طلب)</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230K مهددة</w:t>
            </w:r>
          </w:p>
        </w:tc>
        <w:tc>
          <w:tcPr>
            <w:tcW w:type="dxa" w:w="25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تحسين اللوجستيات فوراً</w:t>
            </w:r>
          </w:p>
        </w:tc>
        <w:tc>
          <w:tcPr>
            <w:tcW w:type="dxa" w:w="23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تدخل عاجل</w:t>
            </w:r>
          </w:p>
        </w:tc>
      </w:tr>
      <w:tr>
        <w:tc>
          <w:tcPr>
            <w:tcW w:type="dxa" w:w="25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ركنة + شيزلونج + فوتيه</w:t>
            </w:r>
          </w:p>
        </w:tc>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41K (3.3%)</w:t>
            </w:r>
          </w:p>
        </w:tc>
        <w:tc>
          <w:tcPr>
            <w:tcW w:type="dxa" w:w="25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مراجعة جدوى الاستمرار</w:t>
            </w:r>
          </w:p>
        </w:tc>
        <w:tc>
          <w:tcPr>
            <w:tcW w:type="dxa" w:w="23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تقليص أو إيقاف</w:t>
            </w:r>
          </w:p>
        </w:tc>
      </w:tr>
      <w:tr>
        <w:tc>
          <w:tcPr>
            <w:tcW w:type="dxa" w:w="25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بيانات 'غير موجود'</w:t>
            </w:r>
          </w:p>
        </w:tc>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106K غير محللة</w:t>
            </w:r>
          </w:p>
        </w:tc>
        <w:tc>
          <w:tcPr>
            <w:tcW w:type="dxa" w:w="25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تصحيح فوري في النظام</w:t>
            </w:r>
          </w:p>
        </w:tc>
        <w:tc>
          <w:tcPr>
            <w:tcW w:type="dxa" w:w="23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إجراء تصحيحي</w:t>
            </w:r>
          </w:p>
        </w:tc>
      </w:tr>
      <w:tr>
        <w:tc>
          <w:tcPr>
            <w:tcW w:type="dxa" w:w="25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قنوات البيع الهامشية</w:t>
            </w:r>
          </w:p>
        </w:tc>
        <w:tc>
          <w:tcPr>
            <w:tcW w:type="dxa" w:w="2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74K (5.9%)</w:t>
            </w:r>
          </w:p>
        </w:tc>
        <w:tc>
          <w:tcPr>
            <w:tcW w:type="dxa" w:w="25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دعم أو إعادة تقييم</w:t>
            </w:r>
          </w:p>
        </w:tc>
        <w:tc>
          <w:tcPr>
            <w:tcW w:type="dxa" w:w="236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مراجعة استراتيجية</w:t>
            </w:r>
          </w:p>
        </w:tc>
      </w:tr>
      <w:tr>
        <w:tc>
          <w:tcPr>
            <w:tcW w:type="dxa" w:w="25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عملاء الشركات (4 فقط)</w:t>
            </w:r>
          </w:p>
        </w:tc>
        <w:tc>
          <w:tcPr>
            <w:tcW w:type="dxa" w:w="2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غائب فعلياً</w:t>
            </w:r>
          </w:p>
        </w:tc>
        <w:tc>
          <w:tcPr>
            <w:tcW w:type="dxa" w:w="25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استهداف B2B بنشاط</w:t>
            </w:r>
          </w:p>
        </w:tc>
        <w:tc>
          <w:tcPr>
            <w:tcW w:type="dxa" w:w="23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فرصة نمو</w:t>
            </w:r>
          </w:p>
        </w:tc>
      </w:tr>
    </w:tbl>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سابعاً: تحليل الاتجاهات والأنماط الزمنية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الشهر</w:t>
            </w:r>
          </w:p>
        </w:tc>
        <w:tc>
          <w:tcPr>
            <w:tcW w:type="dxa" w:w="18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الطلبات</w:t>
            </w:r>
          </w:p>
        </w:tc>
        <w:tc>
          <w:tcPr>
            <w:tcW w:type="dxa" w:w="556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التحليل والتفسير</w:t>
            </w:r>
          </w:p>
        </w:tc>
      </w:tr>
      <w:tr>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أغسطس</w:t>
            </w:r>
          </w:p>
        </w:tc>
        <w:tc>
          <w:tcPr>
            <w:tcW w:type="dxa" w:w="18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4 طلبات</w:t>
            </w:r>
          </w:p>
        </w:tc>
        <w:tc>
          <w:tcPr>
            <w:tcW w:type="dxa" w:w="55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أدنى شهر — نهاية الصيف وركود موسمي طبيعي</w:t>
            </w:r>
          </w:p>
        </w:tc>
      </w:tr>
      <w:tr>
        <w:tc>
          <w:tcPr>
            <w:tcW w:type="dxa" w:w="2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سبتمبر</w:t>
            </w:r>
          </w:p>
        </w:tc>
        <w:tc>
          <w:tcPr>
            <w:tcW w:type="dxa" w:w="18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18 طلب</w:t>
            </w:r>
          </w:p>
        </w:tc>
        <w:tc>
          <w:tcPr>
            <w:tcW w:type="dxa" w:w="556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بداية الانتعاش — موسم الدراسة والانتقالات</w:t>
            </w:r>
          </w:p>
        </w:tc>
      </w:tr>
      <w:tr>
        <w:tc>
          <w:tcPr>
            <w:tcW w:type="dxa" w:w="2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375623"/>
                <w:sz w:val="20"/>
                <w:szCs w:val="20"/>
              </w:rPr>
              <w:t xml:space="preserve">أكتوبر</w:t>
            </w:r>
          </w:p>
        </w:tc>
        <w:tc>
          <w:tcPr>
            <w:tcW w:type="dxa" w:w="18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40 طلب</w:t>
            </w:r>
          </w:p>
        </w:tc>
        <w:tc>
          <w:tcPr>
            <w:tcW w:type="dxa" w:w="55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5623"/>
                <w:sz w:val="20"/>
                <w:szCs w:val="20"/>
              </w:rPr>
              <w:t xml:space="preserve">★ ذروة الموسم — أعلى شهر أداءً (333% نمو من سبتمبر)</w:t>
            </w:r>
          </w:p>
        </w:tc>
      </w:tr>
      <w:tr>
        <w:tc>
          <w:tcPr>
            <w:tcW w:type="dxa" w:w="2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نوفمبر</w:t>
            </w:r>
          </w:p>
        </w:tc>
        <w:tc>
          <w:tcPr>
            <w:tcW w:type="dxa" w:w="18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22 طلب</w:t>
            </w:r>
          </w:p>
        </w:tc>
        <w:tc>
          <w:tcPr>
            <w:tcW w:type="dxa" w:w="55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تراجع طبيعي بعد ذروة أكتوبر — إنفاق المستهلك يهدأ</w:t>
            </w:r>
          </w:p>
        </w:tc>
      </w:tr>
      <w:tr>
        <w:tc>
          <w:tcPr>
            <w:tcW w:type="dxa" w:w="2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ديسمبر</w:t>
            </w:r>
          </w:p>
        </w:tc>
        <w:tc>
          <w:tcPr>
            <w:tcW w:type="dxa" w:w="18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10 طلبات</w:t>
            </w:r>
          </w:p>
        </w:tc>
        <w:tc>
          <w:tcPr>
            <w:tcW w:type="dxa" w:w="556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استمرار التراجع — موسم الأعياد يحول الإنفاق</w:t>
            </w:r>
          </w:p>
        </w:tc>
      </w:tr>
      <w:tr>
        <w:tc>
          <w:tcPr>
            <w:tcW w:type="dxa" w:w="2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26 طلب — بلا تاريخ</w:t>
            </w:r>
          </w:p>
        </w:tc>
        <w:tc>
          <w:tcPr>
            <w:tcW w:type="dxa" w:w="18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556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مشكلة في بيانات التاريخ — تشوّه التحليل الزمني</w:t>
            </w:r>
          </w:p>
        </w:tc>
      </w:tr>
    </w:tbl>
    <w:p>
      <w:r>
        <w:t xml:space="preserve"/>
      </w:r>
    </w:p>
    <w:p>
      <w:pPr>
        <w:spacing w:after="160"/>
        <w:jc w:val="right"/>
      </w:pPr>
      <w:r>
        <w:rPr>
          <w:rFonts w:ascii="Arial" w:cs="Arial" w:eastAsia="Arial" w:hAnsi="Arial"/>
          <w:b w:val="false"/>
          <w:bCs w:val="false"/>
          <w:i w:val="false"/>
          <w:iCs w:val="false"/>
          <w:color w:val="595959"/>
          <w:sz w:val="22"/>
          <w:szCs w:val="22"/>
        </w:rPr>
        <w:t xml:space="preserve">الخلاصة الموسمية: أكتوبر هو موسم الذروة (333% نمو). يجب مضاعفة المخزون والتسويق قبله بشهرين على الأقل (أغسطس–سبتمبر). ديسمبر هو أدنى الأشهر — مناسب للعروض والتصفيات لتحريك المخزون الراكد.</w:t>
      </w:r>
    </w:p>
    <w:p>
      <w:pPr>
        <w:pBdr>
          <w:bottom w:val="single" w:color="2E75B6" w:sz="8" w:space="4"/>
        </w:pBdr>
        <w:spacing w:after="160" w:before="360"/>
        <w:jc w:val="right"/>
      </w:pPr>
      <w:r>
        <w:rPr>
          <w:rFonts w:ascii="Arial" w:cs="Arial" w:eastAsia="Arial" w:hAnsi="Arial"/>
          <w:b/>
          <w:bCs/>
          <w:color w:val="1F4E79"/>
          <w:sz w:val="32"/>
          <w:szCs w:val="32"/>
        </w:rPr>
        <w:t xml:space="preserve">ثامناً: الفرص المتاحة للنمو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gridSpan w:val="1"/>
            <w:tcBorders>
              <w:top w:val="single" w:color="375623" w:sz="6"/>
              <w:left w:val="single" w:color="375623" w:sz="6"/>
              <w:bottom w:val="single" w:color="375623" w:sz="6"/>
              <w:right w:val="single" w:color="375623" w:sz="6"/>
            </w:tcBorders>
            <w:shd w:fill="375623"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الفرصة</w:t>
            </w:r>
          </w:p>
        </w:tc>
        <w:tc>
          <w:tcPr>
            <w:tcW w:type="dxa" w:w="2500"/>
            <w:gridSpan w:val="1"/>
            <w:tcBorders>
              <w:top w:val="single" w:color="375623" w:sz="6"/>
              <w:left w:val="single" w:color="375623" w:sz="6"/>
              <w:bottom w:val="single" w:color="375623" w:sz="6"/>
              <w:right w:val="single" w:color="375623" w:sz="6"/>
            </w:tcBorders>
            <w:shd w:fill="375623"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الإمكانية التقديرية</w:t>
            </w:r>
          </w:p>
        </w:tc>
        <w:tc>
          <w:tcPr>
            <w:tcW w:type="dxa" w:w="3860"/>
            <w:gridSpan w:val="1"/>
            <w:tcBorders>
              <w:top w:val="single" w:color="375623" w:sz="6"/>
              <w:left w:val="single" w:color="375623" w:sz="6"/>
              <w:bottom w:val="single" w:color="375623" w:sz="6"/>
              <w:right w:val="single" w:color="375623" w:sz="6"/>
            </w:tcBorders>
            <w:shd w:fill="375623"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كيفية الاستثمار فيها</w:t>
            </w:r>
          </w:p>
        </w:tc>
      </w:tr>
      <w:tr>
        <w:tc>
          <w:tcPr>
            <w:tcW w:type="dxa" w:w="3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قناة B2B مع الشركات والمطورين</w:t>
            </w:r>
          </w:p>
        </w:tc>
        <w:tc>
          <w:tcPr>
            <w:tcW w:type="dxa" w:w="25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مضاعفة الإيراد ×2-3</w:t>
            </w:r>
          </w:p>
        </w:tc>
        <w:tc>
          <w:tcPr>
            <w:tcW w:type="dxa" w:w="38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التواصل مع مطوري العقارات عند تسليم الوحدات</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منصات بيع إضافية (أمازون/نون)</w:t>
            </w:r>
          </w:p>
        </w:tc>
        <w:tc>
          <w:tcPr>
            <w:tcW w:type="dxa" w:w="25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+ 30-40% مبيعات</w:t>
            </w:r>
          </w:p>
        </w:tc>
        <w:tc>
          <w:tcPr>
            <w:tcW w:type="dxa" w:w="38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فتح حسابات بائع على المنصات الكبرى</w:t>
            </w:r>
          </w:p>
        </w:tc>
      </w:tr>
      <w:tr>
        <w:tc>
          <w:tcPr>
            <w:tcW w:type="dxa" w:w="3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تكثيف التواجد في أكتوبر</w:t>
            </w:r>
          </w:p>
        </w:tc>
        <w:tc>
          <w:tcPr>
            <w:tcW w:type="dxa" w:w="25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+ 50-80% من ذروة الموسم</w:t>
            </w:r>
          </w:p>
        </w:tc>
        <w:tc>
          <w:tcPr>
            <w:tcW w:type="dxa" w:w="38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زيادة المخزون × 3 قبل أكتوبر</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Upselling وBundle Offers</w:t>
            </w:r>
          </w:p>
        </w:tc>
        <w:tc>
          <w:tcPr>
            <w:tcW w:type="dxa" w:w="25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+ 15-25% قيمة الطلب</w:t>
            </w:r>
          </w:p>
        </w:tc>
        <w:tc>
          <w:tcPr>
            <w:tcW w:type="dxa" w:w="38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عروض 'غرفة كاملة' بدلاً من منتج واحد</w:t>
            </w:r>
          </w:p>
        </w:tc>
      </w:tr>
      <w:tr>
        <w:tc>
          <w:tcPr>
            <w:tcW w:type="dxa" w:w="3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توسع جغرافي في الإسكندرية</w:t>
            </w:r>
          </w:p>
        </w:tc>
        <w:tc>
          <w:tcPr>
            <w:tcW w:type="dxa" w:w="25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سوق محتمل +200K</w:t>
            </w:r>
          </w:p>
        </w:tc>
        <w:tc>
          <w:tcPr>
            <w:tcW w:type="dxa" w:w="38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أعلى محافظة بعد القاهرة في الطلب على الأثاث</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خدمة التركيب المنزلي</w:t>
            </w:r>
          </w:p>
        </w:tc>
        <w:tc>
          <w:tcPr>
            <w:tcW w:type="dxa" w:w="25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+ 20% هامش ربح</w:t>
            </w:r>
          </w:p>
        </w:tc>
        <w:tc>
          <w:tcPr>
            <w:tcW w:type="dxa" w:w="386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تقديم خدمة متكاملة بدلاً من التسليم فقط</w:t>
            </w:r>
          </w:p>
        </w:tc>
      </w:tr>
      <w:tr>
        <w:tc>
          <w:tcPr>
            <w:tcW w:type="dxa" w:w="3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bCs/>
                <w:i w:val="false"/>
                <w:iCs w:val="false"/>
                <w:color w:val="000000"/>
                <w:sz w:val="20"/>
                <w:szCs w:val="20"/>
              </w:rPr>
              <w:t xml:space="preserve">برنامج ولاء العملاء</w:t>
            </w:r>
          </w:p>
        </w:tc>
        <w:tc>
          <w:tcPr>
            <w:tcW w:type="dxa" w:w="25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+ 30% تكرار الشراء</w:t>
            </w:r>
          </w:p>
        </w:tc>
        <w:tc>
          <w:tcPr>
            <w:tcW w:type="dxa" w:w="386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00000"/>
                <w:sz w:val="20"/>
                <w:szCs w:val="20"/>
              </w:rPr>
              <w:t xml:space="preserve">كل عميل حالي = قناة تسويق مجانية</w:t>
            </w:r>
          </w:p>
        </w:tc>
      </w:tr>
    </w:tbl>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تاسعاً: التوصيات الإدارية</w:t>
      </w:r>
    </w:p>
    <w:p>
      <w:pPr>
        <w:spacing w:after="160" w:before="240"/>
        <w:jc w:val="right"/>
      </w:pPr>
      <w:r>
        <w:rPr>
          <w:rFonts w:ascii="Arial" w:cs="Arial" w:eastAsia="Arial" w:hAnsi="Arial"/>
          <w:b/>
          <w:bCs/>
          <w:color w:val="2E75B6"/>
          <w:sz w:val="26"/>
          <w:szCs w:val="26"/>
        </w:rPr>
        <w:t xml:space="preserve">إجراءات عاجلة (خلال 30 يوماً)</w:t>
      </w:r>
    </w:p>
    <w:p>
      <w:pPr>
        <w:pStyle w:val="ListParagraph"/>
        <w:numPr>
          <w:ilvl w:val="0"/>
          <w:numId w:val="3"/>
        </w:numPr>
        <w:spacing w:after="100"/>
        <w:jc w:val="right"/>
      </w:pPr>
      <w:r>
        <w:rPr>
          <w:rFonts w:ascii="Arial" w:cs="Arial" w:eastAsia="Arial" w:hAnsi="Arial"/>
          <w:b/>
          <w:bCs/>
          <w:color w:val="C00000"/>
          <w:sz w:val="22"/>
          <w:szCs w:val="22"/>
        </w:rPr>
        <w:t xml:space="preserve">تشكيل فريق طوارئ لوجستي لمعالجة مشكلة التسليم — هدف: رفع المعدل من 49% إلى 70% خلال 30 يوم.</w:t>
      </w:r>
    </w:p>
    <w:p>
      <w:pPr>
        <w:pStyle w:val="ListParagraph"/>
        <w:numPr>
          <w:ilvl w:val="0"/>
          <w:numId w:val="3"/>
        </w:numPr>
        <w:spacing w:after="100"/>
        <w:jc w:val="right"/>
      </w:pPr>
      <w:r>
        <w:rPr>
          <w:rFonts w:ascii="Arial" w:cs="Arial" w:eastAsia="Arial" w:hAnsi="Arial"/>
          <w:sz w:val="22"/>
          <w:szCs w:val="22"/>
        </w:rPr>
        <w:t xml:space="preserve">تصحيح بيانات التاريخ والفئات الناقصة في النظام — معالجة 26 طلب بلا تاريخ و'غير موجود'.</w:t>
      </w:r>
    </w:p>
    <w:p>
      <w:pPr>
        <w:pStyle w:val="ListParagraph"/>
        <w:numPr>
          <w:ilvl w:val="0"/>
          <w:numId w:val="3"/>
        </w:numPr>
        <w:spacing w:after="100"/>
        <w:jc w:val="right"/>
      </w:pPr>
      <w:r>
        <w:rPr>
          <w:rFonts w:ascii="Arial" w:cs="Arial" w:eastAsia="Arial" w:hAnsi="Arial"/>
          <w:sz w:val="22"/>
          <w:szCs w:val="22"/>
        </w:rPr>
        <w:t xml:space="preserve">مضاعفة مخزون الأسرّة بنسبة 50% استعداداً لموسم أكتوبر القادم.</w:t>
      </w:r>
    </w:p>
    <w:p>
      <w:pPr>
        <w:spacing w:after="160" w:before="240"/>
        <w:jc w:val="right"/>
      </w:pPr>
      <w:r>
        <w:rPr>
          <w:rFonts w:ascii="Arial" w:cs="Arial" w:eastAsia="Arial" w:hAnsi="Arial"/>
          <w:b/>
          <w:bCs/>
          <w:color w:val="2E75B6"/>
          <w:sz w:val="26"/>
          <w:szCs w:val="26"/>
        </w:rPr>
        <w:t xml:space="preserve">حلول قصيرة المدى (خلال 90 يوماً)</w:t>
      </w:r>
    </w:p>
    <w:p>
      <w:pPr>
        <w:pStyle w:val="ListParagraph"/>
        <w:numPr>
          <w:ilvl w:val="0"/>
          <w:numId w:val="2"/>
        </w:numPr>
        <w:spacing w:after="100"/>
        <w:jc w:val="right"/>
      </w:pPr>
      <w:r>
        <w:rPr>
          <w:rFonts w:ascii="Arial" w:cs="Arial" w:eastAsia="Arial" w:hAnsi="Arial"/>
          <w:b w:val="false"/>
          <w:bCs w:val="false"/>
          <w:color w:val="000000"/>
          <w:sz w:val="22"/>
          <w:szCs w:val="22"/>
        </w:rPr>
        <w:t xml:space="preserve">التعاقد مع شركة لوجستيات متخصصة في الأثاث مع SLA واضح لمعدل التسليم.</w:t>
      </w:r>
    </w:p>
    <w:p>
      <w:pPr>
        <w:pStyle w:val="ListParagraph"/>
        <w:numPr>
          <w:ilvl w:val="0"/>
          <w:numId w:val="2"/>
        </w:numPr>
        <w:spacing w:after="100"/>
        <w:jc w:val="right"/>
      </w:pPr>
      <w:r>
        <w:rPr>
          <w:rFonts w:ascii="Arial" w:cs="Arial" w:eastAsia="Arial" w:hAnsi="Arial"/>
          <w:b w:val="false"/>
          <w:bCs w:val="false"/>
          <w:color w:val="000000"/>
          <w:sz w:val="22"/>
          <w:szCs w:val="22"/>
        </w:rPr>
        <w:t xml:space="preserve">إطلاق حملات تسويقية مستهدفة في القاهرة الجديدة و6 أكتوبر لمضاعفة الطلبات.</w:t>
      </w:r>
    </w:p>
    <w:p>
      <w:pPr>
        <w:pStyle w:val="ListParagraph"/>
        <w:numPr>
          <w:ilvl w:val="0"/>
          <w:numId w:val="2"/>
        </w:numPr>
        <w:spacing w:after="100"/>
        <w:jc w:val="right"/>
      </w:pPr>
      <w:r>
        <w:rPr>
          <w:rFonts w:ascii="Arial" w:cs="Arial" w:eastAsia="Arial" w:hAnsi="Arial"/>
          <w:b w:val="false"/>
          <w:bCs w:val="false"/>
          <w:color w:val="000000"/>
          <w:sz w:val="22"/>
          <w:szCs w:val="22"/>
        </w:rPr>
        <w:t xml:space="preserve">بدء مبادرة B2B: التواصل مع 10 شركات ومطورين عقاريين شهرياً.</w:t>
      </w:r>
    </w:p>
    <w:p>
      <w:pPr>
        <w:pStyle w:val="ListParagraph"/>
        <w:numPr>
          <w:ilvl w:val="0"/>
          <w:numId w:val="2"/>
        </w:numPr>
        <w:spacing w:after="100"/>
        <w:jc w:val="right"/>
      </w:pPr>
      <w:r>
        <w:rPr>
          <w:rFonts w:ascii="Arial" w:cs="Arial" w:eastAsia="Arial" w:hAnsi="Arial"/>
          <w:b w:val="false"/>
          <w:bCs w:val="false"/>
          <w:color w:val="000000"/>
          <w:sz w:val="22"/>
          <w:szCs w:val="22"/>
        </w:rPr>
        <w:t xml:space="preserve">تطوير عروض Bundle (طقم غرفة نوم / طقم معيشة) لرفع متوسط قيمة الطلب.</w:t>
      </w:r>
    </w:p>
    <w:p>
      <w:pPr>
        <w:spacing w:after="160" w:before="240"/>
        <w:jc w:val="right"/>
      </w:pPr>
      <w:r>
        <w:rPr>
          <w:rFonts w:ascii="Arial" w:cs="Arial" w:eastAsia="Arial" w:hAnsi="Arial"/>
          <w:b/>
          <w:bCs/>
          <w:color w:val="2E75B6"/>
          <w:sz w:val="26"/>
          <w:szCs w:val="26"/>
        </w:rPr>
        <w:t xml:space="preserve">حلول طويلة المدى (خلال 6-12 شهراً)</w:t>
      </w:r>
    </w:p>
    <w:p>
      <w:pPr>
        <w:pStyle w:val="ListParagraph"/>
        <w:numPr>
          <w:ilvl w:val="0"/>
          <w:numId w:val="2"/>
        </w:numPr>
        <w:spacing w:after="100"/>
        <w:jc w:val="right"/>
      </w:pPr>
      <w:r>
        <w:rPr>
          <w:rFonts w:ascii="Arial" w:cs="Arial" w:eastAsia="Arial" w:hAnsi="Arial"/>
          <w:b w:val="false"/>
          <w:bCs w:val="false"/>
          <w:color w:val="000000"/>
          <w:sz w:val="22"/>
          <w:szCs w:val="22"/>
        </w:rPr>
        <w:t xml:space="preserve">بناء موقع إلكتروني للبيع المباشر لتقليل الاعتماد على هومرمارت.</w:t>
      </w:r>
    </w:p>
    <w:p>
      <w:pPr>
        <w:pStyle w:val="ListParagraph"/>
        <w:numPr>
          <w:ilvl w:val="0"/>
          <w:numId w:val="2"/>
        </w:numPr>
        <w:spacing w:after="100"/>
        <w:jc w:val="right"/>
      </w:pPr>
      <w:r>
        <w:rPr>
          <w:rFonts w:ascii="Arial" w:cs="Arial" w:eastAsia="Arial" w:hAnsi="Arial"/>
          <w:b w:val="false"/>
          <w:bCs w:val="false"/>
          <w:color w:val="000000"/>
          <w:sz w:val="22"/>
          <w:szCs w:val="22"/>
        </w:rPr>
        <w:t xml:space="preserve">فتح نقطة عرض فيزيائية (معرض) في مناطق الذروة المبيعية.</w:t>
      </w:r>
    </w:p>
    <w:p>
      <w:pPr>
        <w:pStyle w:val="ListParagraph"/>
        <w:numPr>
          <w:ilvl w:val="0"/>
          <w:numId w:val="2"/>
        </w:numPr>
        <w:spacing w:after="100"/>
        <w:jc w:val="right"/>
      </w:pPr>
      <w:r>
        <w:rPr>
          <w:rFonts w:ascii="Arial" w:cs="Arial" w:eastAsia="Arial" w:hAnsi="Arial"/>
          <w:b w:val="false"/>
          <w:bCs w:val="false"/>
          <w:color w:val="000000"/>
          <w:sz w:val="22"/>
          <w:szCs w:val="22"/>
        </w:rPr>
        <w:t xml:space="preserve">تطوير خط إنتاج للأثاث الفاخر استهدافاً للمعادي والزمالك.</w:t>
      </w:r>
    </w:p>
    <w:p>
      <w:pPr>
        <w:pStyle w:val="ListParagraph"/>
        <w:numPr>
          <w:ilvl w:val="0"/>
          <w:numId w:val="2"/>
        </w:numPr>
        <w:spacing w:after="100"/>
        <w:jc w:val="right"/>
      </w:pPr>
      <w:r>
        <w:rPr>
          <w:rFonts w:ascii="Arial" w:cs="Arial" w:eastAsia="Arial" w:hAnsi="Arial"/>
          <w:b w:val="false"/>
          <w:bCs w:val="false"/>
          <w:color w:val="000000"/>
          <w:sz w:val="22"/>
          <w:szCs w:val="22"/>
        </w:rPr>
        <w:t xml:space="preserve">بناء نظام CRM لإدارة قاعدة العملاء وبرامج الولاء.</w:t>
      </w:r>
    </w:p>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عاشراً: الخطة التنفيذية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000"/>
        <w:gridCol w:w="1360"/>
        <w:gridCol w:w="1000"/>
      </w:tblGrid>
      <w:tr>
        <w:trPr>
          <w:tblHeader/>
        </w:trPr>
        <w:tc>
          <w:tcPr>
            <w:tcW w:type="dxa" w:w="22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المشكلة</w:t>
            </w:r>
          </w:p>
        </w:tc>
        <w:tc>
          <w:tcPr>
            <w:tcW w:type="dxa" w:w="16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السبب</w:t>
            </w:r>
          </w:p>
        </w:tc>
        <w:tc>
          <w:tcPr>
            <w:tcW w:type="dxa" w:w="22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الحل المقترح</w:t>
            </w:r>
          </w:p>
        </w:tc>
        <w:tc>
          <w:tcPr>
            <w:tcW w:type="dxa" w:w="1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الأولوية</w:t>
            </w:r>
          </w:p>
        </w:tc>
        <w:tc>
          <w:tcPr>
            <w:tcW w:type="dxa" w:w="136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التأثير المتوقع</w:t>
            </w:r>
          </w:p>
        </w:tc>
        <w:tc>
          <w:tcPr>
            <w:tcW w:type="dxa" w:w="1000"/>
            <w:gridSpan w:val="1"/>
            <w:tcBorders>
              <w:top w:val="single" w:color="1F4E79" w:sz="6"/>
              <w:left w:val="single" w:color="1F4E79" w:sz="6"/>
              <w:bottom w:val="single" w:color="1F4E79" w:sz="6"/>
              <w:right w:val="single" w:color="1F4E79" w:sz="6"/>
            </w:tcBorders>
            <w:shd w:fill="1F4E7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المسؤول</w:t>
            </w:r>
          </w:p>
        </w:tc>
      </w:tr>
      <w:tr>
        <w:tc>
          <w:tcPr>
            <w:tcW w:type="dxa" w:w="22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19"/>
                <w:szCs w:val="19"/>
              </w:rPr>
              <w:t xml:space="preserve">أزمة التسليم
(49% فقط)</w:t>
            </w:r>
          </w:p>
        </w:tc>
        <w:tc>
          <w:tcPr>
            <w:tcW w:type="dxa" w:w="16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8"/>
                <w:szCs w:val="18"/>
              </w:rPr>
              <w:t xml:space="preserve">لوجستيات ضعيفة وتنسيق غير كافٍ</w:t>
            </w:r>
          </w:p>
        </w:tc>
        <w:tc>
          <w:tcPr>
            <w:tcW w:type="dxa" w:w="2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75623"/>
                <w:sz w:val="18"/>
                <w:szCs w:val="18"/>
              </w:rPr>
              <w:t xml:space="preserve">تعاقد مع شركة شحن متخصصة + نظام تتبع + KPI أسبوعي</w:t>
            </w:r>
          </w:p>
        </w:tc>
        <w:tc>
          <w:tcPr>
            <w:tcW w:type="dxa" w:w="1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bCs/>
                <w:i w:val="false"/>
                <w:iCs w:val="false"/>
                <w:color w:val="C00000"/>
                <w:sz w:val="18"/>
                <w:szCs w:val="18"/>
              </w:rPr>
              <w:t xml:space="preserve">مرتفعة</w:t>
            </w:r>
          </w:p>
        </w:tc>
        <w:tc>
          <w:tcPr>
            <w:tcW w:type="dxa" w:w="136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F4E79"/>
                <w:sz w:val="18"/>
                <w:szCs w:val="18"/>
              </w:rPr>
              <w:t xml:space="preserve">رفع إيراد 230K مهدد</w:t>
            </w:r>
          </w:p>
        </w:tc>
        <w:tc>
          <w:tcPr>
            <w:tcW w:type="dxa" w:w="1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18"/>
                <w:szCs w:val="18"/>
              </w:rPr>
              <w:t xml:space="preserve">المدير التشغيلي</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19"/>
                <w:szCs w:val="19"/>
              </w:rPr>
              <w:t xml:space="preserve">تركز المنصات
(70% هومرمارت)</w:t>
            </w:r>
          </w:p>
        </w:tc>
        <w:tc>
          <w:tcPr>
            <w:tcW w:type="dxa" w:w="16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8"/>
                <w:szCs w:val="18"/>
              </w:rPr>
              <w:t xml:space="preserve">اعتماد مفرط على قناة واحدة</w:t>
            </w:r>
          </w:p>
        </w:tc>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75623"/>
                <w:sz w:val="18"/>
                <w:szCs w:val="18"/>
              </w:rPr>
              <w:t xml:space="preserve">فتح 3 قنوات بيع إضافية خلال 6 أشهر + موقع مباشر</w:t>
            </w:r>
          </w:p>
        </w:tc>
        <w:tc>
          <w:tcPr>
            <w:tcW w:type="dxa" w:w="1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bCs/>
                <w:i w:val="false"/>
                <w:iCs w:val="false"/>
                <w:color w:val="C00000"/>
                <w:sz w:val="18"/>
                <w:szCs w:val="18"/>
              </w:rPr>
              <w:t xml:space="preserve">مرتفعة</w:t>
            </w:r>
          </w:p>
        </w:tc>
        <w:tc>
          <w:tcPr>
            <w:tcW w:type="dxa" w:w="136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F4E79"/>
                <w:sz w:val="18"/>
                <w:szCs w:val="18"/>
              </w:rPr>
              <w:t xml:space="preserve">تقليل مخاطر بـ 50%</w:t>
            </w:r>
          </w:p>
        </w:tc>
        <w:tc>
          <w:tcPr>
            <w:tcW w:type="dxa" w:w="1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18"/>
                <w:szCs w:val="18"/>
              </w:rPr>
              <w:t xml:space="preserve">مدير المبيعات</w:t>
            </w:r>
          </w:p>
        </w:tc>
      </w:tr>
      <w:tr>
        <w:tc>
          <w:tcPr>
            <w:tcW w:type="dxa" w:w="22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19"/>
                <w:szCs w:val="19"/>
              </w:rPr>
              <w:t xml:space="preserve">بيانات ناقصة
(Blank + غير محدد)</w:t>
            </w:r>
          </w:p>
        </w:tc>
        <w:tc>
          <w:tcPr>
            <w:tcW w:type="dxa" w:w="16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8"/>
                <w:szCs w:val="18"/>
              </w:rPr>
              <w:t xml:space="preserve">غياب معايير إدخال البيانات</w:t>
            </w:r>
          </w:p>
        </w:tc>
        <w:tc>
          <w:tcPr>
            <w:tcW w:type="dxa" w:w="2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75623"/>
                <w:sz w:val="18"/>
                <w:szCs w:val="18"/>
              </w:rPr>
              <w:t xml:space="preserve">حقول إلزامية في النظام + Power Query تنظيف شهري</w:t>
            </w:r>
          </w:p>
        </w:tc>
        <w:tc>
          <w:tcPr>
            <w:tcW w:type="dxa" w:w="10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center"/>
            </w:pPr>
            <w:r>
              <w:rPr>
                <w:rFonts w:ascii="Arial" w:cs="Arial" w:eastAsia="Arial" w:hAnsi="Arial"/>
                <w:b/>
                <w:bCs/>
                <w:i w:val="false"/>
                <w:iCs w:val="false"/>
                <w:color w:val="C00000"/>
                <w:sz w:val="18"/>
                <w:szCs w:val="18"/>
              </w:rPr>
              <w:t xml:space="preserve">مرتفعة</w:t>
            </w:r>
          </w:p>
        </w:tc>
        <w:tc>
          <w:tcPr>
            <w:tcW w:type="dxa" w:w="136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F4E79"/>
                <w:sz w:val="18"/>
                <w:szCs w:val="18"/>
              </w:rPr>
              <w:t xml:space="preserve">تحسين دقة التقارير</w:t>
            </w:r>
          </w:p>
        </w:tc>
        <w:tc>
          <w:tcPr>
            <w:tcW w:type="dxa" w:w="1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18"/>
                <w:szCs w:val="18"/>
              </w:rPr>
              <w:t xml:space="preserve">مسؤول البيانات</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19"/>
                <w:szCs w:val="19"/>
              </w:rPr>
              <w:t xml:space="preserve">فئات الذيل
(ركنة/شيزلونج)</w:t>
            </w:r>
          </w:p>
        </w:tc>
        <w:tc>
          <w:tcPr>
            <w:tcW w:type="dxa" w:w="16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8"/>
                <w:szCs w:val="18"/>
              </w:rPr>
              <w:t xml:space="preserve">منتجات منخفضة الطلب</w:t>
            </w:r>
          </w:p>
        </w:tc>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75623"/>
                <w:sz w:val="18"/>
                <w:szCs w:val="18"/>
              </w:rPr>
              <w:t xml:space="preserve">مراجعة الجدوى — تصفية المخزون وتحويل الموارد</w:t>
            </w:r>
          </w:p>
        </w:tc>
        <w:tc>
          <w:tcPr>
            <w:tcW w:type="dxa" w:w="1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ED7D31"/>
                <w:sz w:val="18"/>
                <w:szCs w:val="18"/>
              </w:rPr>
              <w:t xml:space="preserve">متوسطة</w:t>
            </w:r>
          </w:p>
        </w:tc>
        <w:tc>
          <w:tcPr>
            <w:tcW w:type="dxa" w:w="136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F4E79"/>
                <w:sz w:val="18"/>
                <w:szCs w:val="18"/>
              </w:rPr>
              <w:t xml:space="preserve">توفير تكاليف مخزون</w:t>
            </w:r>
          </w:p>
        </w:tc>
        <w:tc>
          <w:tcPr>
            <w:tcW w:type="dxa" w:w="1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18"/>
                <w:szCs w:val="18"/>
              </w:rPr>
              <w:t xml:space="preserve">مدير المنتجات</w:t>
            </w:r>
          </w:p>
        </w:tc>
      </w:tr>
      <w:tr>
        <w:tc>
          <w:tcPr>
            <w:tcW w:type="dxa" w:w="22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19"/>
                <w:szCs w:val="19"/>
              </w:rPr>
              <w:t xml:space="preserve">غياب B2B
(4 شركات فقط)</w:t>
            </w:r>
          </w:p>
        </w:tc>
        <w:tc>
          <w:tcPr>
            <w:tcW w:type="dxa" w:w="16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8"/>
                <w:szCs w:val="18"/>
              </w:rPr>
              <w:t xml:space="preserve">عدم استهداف القطاع المؤسسي</w:t>
            </w:r>
          </w:p>
        </w:tc>
        <w:tc>
          <w:tcPr>
            <w:tcW w:type="dxa" w:w="2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75623"/>
                <w:sz w:val="18"/>
                <w:szCs w:val="18"/>
              </w:rPr>
              <w:t xml:space="preserve">برنامج B2B مخصص مع عروض جملة + مطورين عقاريين</w:t>
            </w:r>
          </w:p>
        </w:tc>
        <w:tc>
          <w:tcPr>
            <w:tcW w:type="dxa" w:w="1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ED7D31"/>
                <w:sz w:val="18"/>
                <w:szCs w:val="18"/>
              </w:rPr>
              <w:t xml:space="preserve">متوسطة</w:t>
            </w:r>
          </w:p>
        </w:tc>
        <w:tc>
          <w:tcPr>
            <w:tcW w:type="dxa" w:w="136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F4E79"/>
                <w:sz w:val="18"/>
                <w:szCs w:val="18"/>
              </w:rPr>
              <w:t xml:space="preserve">مضاعفة الإيراد ×2</w:t>
            </w:r>
          </w:p>
        </w:tc>
        <w:tc>
          <w:tcPr>
            <w:tcW w:type="dxa" w:w="1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18"/>
                <w:szCs w:val="18"/>
              </w:rPr>
              <w:t xml:space="preserve">مدير التسويق</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19"/>
                <w:szCs w:val="19"/>
              </w:rPr>
              <w:t xml:space="preserve">موسمية حادة
(أكتوبر فقط)</w:t>
            </w:r>
          </w:p>
        </w:tc>
        <w:tc>
          <w:tcPr>
            <w:tcW w:type="dxa" w:w="16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8"/>
                <w:szCs w:val="18"/>
              </w:rPr>
              <w:t xml:space="preserve">تركز المبيعات في شهر واحد</w:t>
            </w:r>
          </w:p>
        </w:tc>
        <w:tc>
          <w:tcPr>
            <w:tcW w:type="dxa" w:w="22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75623"/>
                <w:sz w:val="18"/>
                <w:szCs w:val="18"/>
              </w:rPr>
              <w:t xml:space="preserve">عروض خاصة في أغسطس/ديسمبر + خطة مخزون موسمية</w:t>
            </w:r>
          </w:p>
        </w:tc>
        <w:tc>
          <w:tcPr>
            <w:tcW w:type="dxa" w:w="1000"/>
            <w:gridSpan w:val="1"/>
            <w:tcBorders>
              <w:top w:val="single" w:color="FFF2CC" w:sz="6"/>
              <w:left w:val="single" w:color="FFF2CC" w:sz="6"/>
              <w:bottom w:val="single" w:color="FFF2CC" w:sz="6"/>
              <w:right w:val="single" w:color="FFF2CC" w:sz="6"/>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ED7D31"/>
                <w:sz w:val="18"/>
                <w:szCs w:val="18"/>
              </w:rPr>
              <w:t xml:space="preserve">متوسطة</w:t>
            </w:r>
          </w:p>
        </w:tc>
        <w:tc>
          <w:tcPr>
            <w:tcW w:type="dxa" w:w="136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F4E79"/>
                <w:sz w:val="18"/>
                <w:szCs w:val="18"/>
              </w:rPr>
              <w:t xml:space="preserve">توازن التدفق النقدي</w:t>
            </w:r>
          </w:p>
        </w:tc>
        <w:tc>
          <w:tcPr>
            <w:tcW w:type="dxa" w:w="1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18"/>
                <w:szCs w:val="18"/>
              </w:rPr>
              <w:t xml:space="preserve">مدير المبيعات</w:t>
            </w:r>
          </w:p>
        </w:tc>
      </w:tr>
      <w:tr>
        <w:tc>
          <w:tcPr>
            <w:tcW w:type="dxa" w:w="2200"/>
            <w:gridSpan w:val="1"/>
            <w:tcBorders>
              <w:top w:val="single" w:color="FFE2CC" w:sz="6"/>
              <w:left w:val="single" w:color="FFE2CC" w:sz="6"/>
              <w:bottom w:val="single" w:color="FFE2CC" w:sz="6"/>
              <w:right w:val="single" w:color="FFE2CC" w:sz="6"/>
            </w:tcBorders>
            <w:shd w:fill="FFE2CC" w:val="clear"/>
            <w:tcMar>
              <w:top w:type="dxa" w:w="100"/>
              <w:left w:type="dxa" w:w="140"/>
              <w:bottom w:type="dxa" w:w="100"/>
              <w:right w:type="dxa" w:w="140"/>
            </w:tcMar>
            <w:vAlign w:val="center"/>
          </w:tcPr>
          <w:p>
            <w:pPr>
              <w:jc w:val="right"/>
            </w:pPr>
            <w:r>
              <w:rPr>
                <w:rFonts w:ascii="Arial" w:cs="Arial" w:eastAsia="Arial" w:hAnsi="Arial"/>
                <w:b/>
                <w:bCs/>
                <w:i w:val="false"/>
                <w:iCs w:val="false"/>
                <w:color w:val="C00000"/>
                <w:sz w:val="19"/>
                <w:szCs w:val="19"/>
              </w:rPr>
              <w:t xml:space="preserve">نقص التحليل التاريخي</w:t>
            </w:r>
          </w:p>
        </w:tc>
        <w:tc>
          <w:tcPr>
            <w:tcW w:type="dxa" w:w="1600"/>
            <w:gridSpan w:val="1"/>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595959"/>
                <w:sz w:val="18"/>
                <w:szCs w:val="18"/>
              </w:rPr>
              <w:t xml:space="preserve">5 أشهر بيانات فقط</w:t>
            </w:r>
          </w:p>
        </w:tc>
        <w:tc>
          <w:tcPr>
            <w:tcW w:type="dxa" w:w="22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right"/>
            </w:pPr>
            <w:r>
              <w:rPr>
                <w:rFonts w:ascii="Arial" w:cs="Arial" w:eastAsia="Arial" w:hAnsi="Arial"/>
                <w:b w:val="false"/>
                <w:bCs w:val="false"/>
                <w:i w:val="false"/>
                <w:iCs w:val="false"/>
                <w:color w:val="375623"/>
                <w:sz w:val="18"/>
                <w:szCs w:val="18"/>
              </w:rPr>
              <w:t xml:space="preserve">بناء قاعدة بيانات تاريخية كاملة من اليوم الأول</w:t>
            </w:r>
          </w:p>
        </w:tc>
        <w:tc>
          <w:tcPr>
            <w:tcW w:type="dxa" w:w="1000"/>
            <w:gridSpan w:val="1"/>
            <w:tcBorders>
              <w:top w:val="single" w:color="E2EFDA" w:sz="6"/>
              <w:left w:val="single" w:color="E2EFDA" w:sz="6"/>
              <w:bottom w:val="single" w:color="E2EFDA" w:sz="6"/>
              <w:right w:val="single" w:color="E2EFDA" w:sz="6"/>
            </w:tcBorders>
            <w:shd w:fill="E2EFDA" w:val="clear"/>
            <w:tcMar>
              <w:top w:type="dxa" w:w="100"/>
              <w:left w:type="dxa" w:w="140"/>
              <w:bottom w:type="dxa" w:w="100"/>
              <w:right w:type="dxa" w:w="140"/>
            </w:tcMar>
            <w:vAlign w:val="center"/>
          </w:tcPr>
          <w:p>
            <w:pPr>
              <w:jc w:val="center"/>
            </w:pPr>
            <w:r>
              <w:rPr>
                <w:rFonts w:ascii="Arial" w:cs="Arial" w:eastAsia="Arial" w:hAnsi="Arial"/>
                <w:b/>
                <w:bCs/>
                <w:i w:val="false"/>
                <w:iCs w:val="false"/>
                <w:color w:val="375623"/>
                <w:sz w:val="18"/>
                <w:szCs w:val="18"/>
              </w:rPr>
              <w:t xml:space="preserve">منخفضة</w:t>
            </w:r>
          </w:p>
        </w:tc>
        <w:tc>
          <w:tcPr>
            <w:tcW w:type="dxa" w:w="1360"/>
            <w:gridSpan w:val="1"/>
            <w:tcBorders>
              <w:top w:val="single" w:color="DEEAF1" w:sz="6"/>
              <w:left w:val="single" w:color="DEEAF1" w:sz="6"/>
              <w:bottom w:val="single" w:color="DEEAF1" w:sz="6"/>
              <w:right w:val="single" w:color="DEEAF1" w:sz="6"/>
            </w:tcBorders>
            <w:shd w:fill="DEEAF1"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F4E79"/>
                <w:sz w:val="18"/>
                <w:szCs w:val="18"/>
              </w:rPr>
              <w:t xml:space="preserve">تحسين القرارات المستقبلية</w:t>
            </w:r>
          </w:p>
        </w:tc>
        <w:tc>
          <w:tcPr>
            <w:tcW w:type="dxa" w:w="1000"/>
            <w:gridSpan w:val="1"/>
            <w:tcBorders>
              <w:top w:val="single" w:color="F2F2F2" w:sz="6"/>
              <w:left w:val="single" w:color="F2F2F2" w:sz="6"/>
              <w:bottom w:val="single" w:color="F2F2F2" w:sz="6"/>
              <w:right w:val="single" w:color="F2F2F2" w:sz="6"/>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18"/>
                <w:szCs w:val="18"/>
              </w:rPr>
              <w:t xml:space="preserve">مدير BI</w:t>
            </w:r>
          </w:p>
        </w:tc>
      </w:tr>
    </w:tbl>
    <w:p>
      <w:r>
        <w:br w:type="page"/>
      </w:r>
    </w:p>
    <w:p>
      <w:pPr>
        <w:pBdr>
          <w:bottom w:val="single" w:color="2E75B6" w:sz="8" w:space="4"/>
        </w:pBdr>
        <w:spacing w:after="160" w:before="360"/>
        <w:jc w:val="right"/>
      </w:pPr>
      <w:r>
        <w:rPr>
          <w:rFonts w:ascii="Arial" w:cs="Arial" w:eastAsia="Arial" w:hAnsi="Arial"/>
          <w:b/>
          <w:bCs/>
          <w:color w:val="1F4E79"/>
          <w:sz w:val="32"/>
          <w:szCs w:val="32"/>
        </w:rPr>
        <w:t xml:space="preserve">الحادي عشر: الخلاصة النهائية — الرأي الاستشاري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2E75B6" w:sz="20"/>
              <w:bottom w:val="single" w:color="1F4E79" w:sz="6"/>
              <w:right w:val="single" w:color="FFFFFF" w:sz="6"/>
            </w:tcBorders>
            <w:shd w:fill="F0F5FF" w:val="clear"/>
            <w:tcMar>
              <w:top w:type="dxa" w:w="200"/>
              <w:left w:type="dxa" w:w="240"/>
              <w:bottom w:type="dxa" w:w="200"/>
              <w:right w:type="dxa" w:w="240"/>
            </w:tcMar>
          </w:tcPr>
          <w:p>
            <w:pPr>
              <w:spacing w:after="140"/>
              <w:jc w:val="right"/>
            </w:pPr>
            <w:r>
              <w:rPr>
                <w:rFonts w:ascii="Arial" w:cs="Arial" w:eastAsia="Arial" w:hAnsi="Arial"/>
                <w:b/>
                <w:bCs/>
                <w:color w:val="1F4E79"/>
                <w:sz w:val="24"/>
                <w:szCs w:val="24"/>
              </w:rPr>
              <w:t xml:space="preserve">السيد المدير التنفيذي،</w:t>
            </w:r>
          </w:p>
          <w:p>
            <w:pPr>
              <w:spacing w:after="140"/>
              <w:jc w:val="right"/>
            </w:pPr>
            <w:r>
              <w:rPr>
                <w:rFonts w:ascii="Arial" w:cs="Arial" w:eastAsia="Arial" w:hAnsi="Arial"/>
                <w:sz w:val="22"/>
                <w:szCs w:val="22"/>
              </w:rPr>
              <w:t xml:space="preserve">بعد التحليل الشامل لبيانات أداء MISUO خلال الفترة أغسطس–ديسمبر 2024، يمكنني القول بثقة: الشركة تمتلك أساساً تجارياً قوياً وإمكانية نمو حقيقية، لكنها تقف عند منعطف حاسم يتطلب قرارات جريئة.</w:t>
            </w:r>
          </w:p>
          <w:p>
            <w:pPr>
              <w:spacing w:after="140"/>
              <w:jc w:val="right"/>
            </w:pPr>
            <w:r>
              <w:rPr>
                <w:rFonts w:ascii="Arial" w:cs="Arial" w:eastAsia="Arial" w:hAnsi="Arial"/>
                <w:b/>
                <w:bCs/>
                <w:color w:val="375623"/>
                <w:sz w:val="22"/>
                <w:szCs w:val="22"/>
              </w:rPr>
              <w:t xml:space="preserve">ما يُطمئن: </w:t>
            </w:r>
            <w:r>
              <w:rPr>
                <w:rFonts w:ascii="Arial" w:cs="Arial" w:eastAsia="Arial" w:hAnsi="Arial"/>
                <w:sz w:val="22"/>
                <w:szCs w:val="22"/>
              </w:rPr>
              <w:t xml:space="preserve">مبيعات بلغت 1.25 مليون في 5 أشهر فقط، مع منتج رئيسي (السرير) يُهيمن بـ 72% وطلب مستدام. هذا لا يتحقق إلا عندما يكون المنتج يُحل مشكلة حقيقية لدى العميل.</w:t>
            </w:r>
          </w:p>
          <w:p>
            <w:pPr>
              <w:spacing w:after="140"/>
              <w:jc w:val="right"/>
            </w:pPr>
            <w:r>
              <w:rPr>
                <w:rFonts w:ascii="Arial" w:cs="Arial" w:eastAsia="Arial" w:hAnsi="Arial"/>
                <w:b/>
                <w:bCs/>
                <w:color w:val="C00000"/>
                <w:sz w:val="22"/>
                <w:szCs w:val="22"/>
              </w:rPr>
              <w:t xml:space="preserve">ما يُقلق: </w:t>
            </w:r>
            <w:r>
              <w:rPr>
                <w:rFonts w:ascii="Arial" w:cs="Arial" w:eastAsia="Arial" w:hAnsi="Arial"/>
                <w:sz w:val="22"/>
                <w:szCs w:val="22"/>
              </w:rPr>
              <w:t xml:space="preserve">معدل تسليم 49% وفشل 19% هي أرقام غير مقبولة في قطاع الأثاث. العميل الذي ينتظر سريره أسابيع ثم لا يُسلَّم له لن يعود ولن يُوصي بالشركة. هذه المشكلة وحدها قادرة على وقف النمو تماماً إذا لم تُعالج.</w:t>
            </w:r>
          </w:p>
          <w:p>
            <w:pPr>
              <w:spacing w:after="140"/>
              <w:jc w:val="right"/>
            </w:pPr>
            <w:r>
              <w:rPr>
                <w:rFonts w:ascii="Arial" w:cs="Arial" w:eastAsia="Arial" w:hAnsi="Arial"/>
                <w:b/>
                <w:bCs/>
                <w:color w:val="ED7D31"/>
                <w:sz w:val="22"/>
                <w:szCs w:val="22"/>
              </w:rPr>
              <w:t xml:space="preserve">الفرصة الكبرى: </w:t>
            </w:r>
            <w:r>
              <w:rPr>
                <w:rFonts w:ascii="Arial" w:cs="Arial" w:eastAsia="Arial" w:hAnsi="Arial"/>
                <w:sz w:val="22"/>
                <w:szCs w:val="22"/>
              </w:rPr>
              <w:t xml:space="preserve">قطاع B2B غائب تماماً (4 شركات فقط). مطور عقاري واحد يسلّم 100 وحدة سكنية = 100 طلب أثاث دفعة واحدة. إطلاق قناة B2B مخصصة قد يُضاعف الإيراد خلال سنة واحدة.</w:t>
            </w:r>
          </w:p>
          <w:p>
            <w:pPr>
              <w:spacing w:after="80"/>
              <w:jc w:val="right"/>
            </w:pPr>
            <w:r>
              <w:rPr>
                <w:rFonts w:ascii="Arial" w:cs="Arial" w:eastAsia="Arial" w:hAnsi="Arial"/>
                <w:b/>
                <w:bCs/>
                <w:sz w:val="22"/>
                <w:szCs w:val="22"/>
              </w:rPr>
              <w:t xml:space="preserve">القرار الأهم الذي يجب اتخاذه الآن: </w:t>
            </w:r>
            <w:r>
              <w:rPr>
                <w:rFonts w:ascii="Arial" w:cs="Arial" w:eastAsia="Arial" w:hAnsi="Arial"/>
                <w:sz w:val="22"/>
                <w:szCs w:val="22"/>
              </w:rPr>
              <w:t xml:space="preserve">حل أزمة التسليم في أقرب وقت ممكن. لا تنويع ولا نمو ولا B2B سيُجدي ما لم يثق العميل أن طلبه سيصله في الوقت المحدد.</w:t>
            </w:r>
          </w:p>
          <w:p>
            <w:pPr>
              <w:spacing w:after="0"/>
              <w:jc w:val="right"/>
            </w:pPr>
            <w:r>
              <w:rPr>
                <w:rFonts w:ascii="Arial" w:cs="Arial" w:eastAsia="Arial" w:hAnsi="Arial"/>
                <w:i/>
                <w:iCs/>
                <w:color w:val="595959"/>
                <w:sz w:val="22"/>
                <w:szCs w:val="22"/>
              </w:rPr>
              <w:t xml:space="preserve">خلاصة التقييم: الشركة في مرحلة النمو المبكر مع إمكانيات كبيرة — لكن النجاح يعتمد كلياً على حل مشكلة التسليم وتنويع القنوات خلال الـ 90 يوم القادمة.</w:t>
            </w:r>
          </w:p>
        </w:tc>
      </w:tr>
    </w:tbl>
    <w:p>
      <w:r>
        <w:t xml:space="preserve"/>
      </w:r>
    </w:p>
    <w:p>
      <w:r>
        <w:t xml:space="preserve"/>
      </w:r>
    </w:p>
    <w:p>
      <w:pPr>
        <w:spacing w:after="160"/>
        <w:jc w:val="right"/>
      </w:pPr>
      <w:r>
        <w:rPr>
          <w:rFonts w:ascii="Arial" w:cs="Arial" w:eastAsia="Arial" w:hAnsi="Arial"/>
          <w:b w:val="false"/>
          <w:bCs w:val="false"/>
          <w:i/>
          <w:iCs/>
          <w:color w:val="595959"/>
          <w:sz w:val="20"/>
          <w:szCs w:val="20"/>
        </w:rPr>
        <w:t xml:space="preserve">معدّ التقرير: قسم تحليل الأعمال (Business Intelligence)</w:t>
      </w:r>
    </w:p>
    <w:p>
      <w:pPr>
        <w:spacing w:after="160"/>
        <w:jc w:val="right"/>
      </w:pPr>
      <w:r>
        <w:rPr>
          <w:rFonts w:ascii="Arial" w:cs="Arial" w:eastAsia="Arial" w:hAnsi="Arial"/>
          <w:b w:val="false"/>
          <w:bCs w:val="false"/>
          <w:i/>
          <w:iCs/>
          <w:color w:val="595959"/>
          <w:sz w:val="20"/>
          <w:szCs w:val="20"/>
        </w:rPr>
        <w:t xml:space="preserve">تاريخ الإعداد: يونيو 2026  |  البيانات المصدر: داشبورد MISUO Power BI</w:t>
      </w:r>
    </w:p>
    <w:p>
      <w:pPr>
        <w:spacing w:after="160"/>
        <w:jc w:val="right"/>
      </w:pPr>
      <w:r>
        <w:rPr>
          <w:rFonts w:ascii="Arial" w:cs="Arial" w:eastAsia="Arial" w:hAnsi="Arial"/>
          <w:b/>
          <w:bCs/>
          <w:i w:val="false"/>
          <w:iCs w:val="false"/>
          <w:color w:val="C00000"/>
          <w:sz w:val="20"/>
          <w:szCs w:val="20"/>
        </w:rPr>
        <w:t xml:space="preserve">سري وخاص — لاستخدام الإدارة العليا فقط</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center"/>
    </w:pPr>
    <w:r>
      <w:rPr>
        <w:rFonts w:ascii="Arial" w:cs="Arial" w:eastAsia="Arial" w:hAnsi="Arial"/>
        <w:color w:val="595959"/>
        <w:sz w:val="18"/>
        <w:szCs w:val="18"/>
      </w:rPr>
      <w:t xml:space="preserve">سري وخاص - مُعدّ لأغراض الإدارة العليا فقط  |  صفحة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jc w:val="right"/>
    </w:pPr>
    <w:r>
      <w:rPr>
        <w:rFonts w:ascii="Arial" w:cs="Arial" w:eastAsia="Arial" w:hAnsi="Arial"/>
        <w:b/>
        <w:bCs/>
        <w:color w:val="1F4E79"/>
        <w:sz w:val="20"/>
        <w:szCs w:val="20"/>
      </w:rPr>
      <w:t xml:space="preserve">التقرير التنفيذي - شركة MISUO لأثاث المنازل</w:t>
    </w:r>
    <w:r>
      <w:rPr>
        <w:rFonts w:ascii="Arial" w:cs="Arial" w:eastAsia="Arial" w:hAnsi="Arial"/>
        <w:color w:val="595959"/>
        <w:sz w:val="18"/>
        <w:szCs w:val="18"/>
      </w:rPr>
      <w:t xml:space="preserve">   |   يونيو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2026-06-19T11:54:15.541Z</dcterms:created>
  <dcterms:modified xsi:type="dcterms:W3CDTF">2026-06-19T11:54:15.542Z</dcterms:modified>
</cp:coreProperties>
</file>

<file path=docProps/custom.xml><?xml version="1.0" encoding="utf-8"?>
<Properties xmlns="http://schemas.openxmlformats.org/officeDocument/2006/custom-properties" xmlns:vt="http://schemas.openxmlformats.org/officeDocument/2006/docPropsVTypes"/>
</file>