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Summary of findings and recommendations based on UT readings, wall thickness measurements, and service life.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corrosion_rate(t_nominal in mm, t_measured in mm, years in year): </w:t>
      </w:r>
      <w:r>
        <w:t>—</w:t>
      </w:r>
    </w:p>
    <w:p>
      <w:r>
        <w:rPr>
          <w:b/>
        </w:rPr>
        <w:t xml:space="preserve">remaining_life(t_measured in mm, t_minimum in mm, corrosion_rate in mm / year): </w:t>
      </w:r>
      <w:r>
        <w:t>—</w:t>
      </w:r>
    </w:p>
    <w:p>
      <w:r>
        <w:rPr>
          <w:b/>
        </w:rPr>
        <w:t xml:space="preserve">next_inspection_interval(remaining_life in year):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Recommend immediate inspection and potential reinforcement of the affected area.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