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Examen Final - Bloc 3 : Conduire des négociations avec les fournisseurs et prestataires</w:t>
      </w:r>
    </w:p>
    <w:p>
      <w:pPr>
        <w:jc w:val="both"/>
      </w:pPr>
      <w:r>
        <w:rPr>
          <w:sz w:val="22"/>
        </w:rPr>
        <w:t>Étudiante : Salma Alami - Master MSAA1 (2023–2025)</w:t>
      </w:r>
    </w:p>
    <w:p>
      <w:pPr>
        <w:jc w:val="both"/>
      </w:pPr>
      <w:r>
        <w:rPr>
          <w:b/>
          <w:sz w:val="22"/>
        </w:rPr>
        <w:t>Entreprise : DRAGE</w:t>
      </w:r>
    </w:p>
    <w:p/>
    <w:p>
      <w:pPr>
        <w:pStyle w:val="Heading1"/>
      </w:pPr>
      <w:r>
        <w:t>Dossier 1 : Renouvellement de collaboration avec 5N</w:t>
      </w:r>
    </w:p>
    <w:p>
      <w:pPr>
        <w:pStyle w:val="Heading2"/>
      </w:pPr>
      <w:r>
        <w:t>1. Stratégie de négociation</w:t>
      </w:r>
    </w:p>
    <w:p>
      <w:pPr>
        <w:jc w:val="both"/>
      </w:pPr>
      <w:r>
        <w:rPr>
          <w:sz w:val="22"/>
        </w:rPr>
        <w:t>Objectif : Renouveler un partenariat stratégique avec 5N tout en augmentant la rentabilité et réduisant les stocks dormants.</w:t>
      </w:r>
    </w:p>
    <w:p>
      <w:pPr>
        <w:jc w:val="both"/>
      </w:pPr>
      <w:r>
        <w:rPr>
          <w:sz w:val="22"/>
        </w:rPr>
        <w:t>Approche : Analyse du rapport de force, préparation des données (ventes, marges, stocks), stratégie basée sur une négociation raisonnée (gagnant-gagnant).</w:t>
      </w:r>
    </w:p>
    <w:p>
      <w:pPr>
        <w:jc w:val="both"/>
      </w:pPr>
      <w:r>
        <w:rPr>
          <w:sz w:val="22"/>
        </w:rPr>
        <w:t>Actions : Réduction du nombre de références suivies, renégociation des conditions promotionnelles, argumentaire basé sur les chiffres clés (stocks dormants, marges concurrentes, exclusivité 5N).</w:t>
      </w:r>
    </w:p>
    <w:p>
      <w:pPr>
        <w:pStyle w:val="Heading2"/>
      </w:pPr>
      <w:r>
        <w:t>2. Leviers pour rentabiliser la collaboration</w:t>
      </w:r>
    </w:p>
    <w:p>
      <w:pPr>
        <w:jc w:val="both"/>
      </w:pPr>
      <w:r>
        <w:rPr>
          <w:sz w:val="22"/>
        </w:rPr>
        <w:t>• Ciblage des produits rentables pour les mises en avant.</w:t>
      </w:r>
    </w:p>
    <w:p>
      <w:pPr>
        <w:jc w:val="both"/>
      </w:pPr>
      <w:r>
        <w:rPr>
          <w:sz w:val="22"/>
        </w:rPr>
        <w:t>• Négociation de meilleures remises sur volume et budget promotionnel.</w:t>
      </w:r>
    </w:p>
    <w:p>
      <w:pPr>
        <w:jc w:val="both"/>
      </w:pPr>
      <w:r>
        <w:rPr>
          <w:sz w:val="22"/>
        </w:rPr>
        <w:t>• Proposition de retour de stock dormants.</w:t>
      </w:r>
    </w:p>
    <w:p>
      <w:pPr>
        <w:jc w:val="both"/>
      </w:pPr>
      <w:r>
        <w:rPr>
          <w:sz w:val="22"/>
        </w:rPr>
        <w:t>• Réduction des engagements de visibilité en ligne.</w:t>
      </w:r>
    </w:p>
    <w:p>
      <w:pPr>
        <w:jc w:val="both"/>
      </w:pPr>
      <w:r>
        <w:rPr>
          <w:sz w:val="22"/>
        </w:rPr>
        <w:t>• Collaboration sur l’innovation et tests en exclusivité.</w:t>
      </w:r>
    </w:p>
    <w:p>
      <w:pPr>
        <w:pStyle w:val="Heading1"/>
      </w:pPr>
      <w:r>
        <w:t>Dossier 2 : Optimisation tarifaire avec Alain PRESSION</w:t>
      </w:r>
    </w:p>
    <w:p>
      <w:pPr>
        <w:pStyle w:val="Heading2"/>
      </w:pPr>
      <w:r>
        <w:t>1. Analyse de l’approche du fournisseur</w:t>
      </w:r>
    </w:p>
    <w:p>
      <w:pPr>
        <w:jc w:val="both"/>
      </w:pPr>
      <w:r>
        <w:rPr>
          <w:sz w:val="22"/>
        </w:rPr>
        <w:t>Points positifs : qualité irréprochable, bonne réputation.</w:t>
      </w:r>
    </w:p>
    <w:p>
      <w:pPr>
        <w:jc w:val="both"/>
      </w:pPr>
      <w:r>
        <w:rPr>
          <w:sz w:val="22"/>
        </w:rPr>
        <w:t>Points négatifs : hausse brutale, monopole abusif, frustration légitime suite à rejet de ses propositions techniques.</w:t>
      </w:r>
    </w:p>
    <w:p>
      <w:pPr>
        <w:pStyle w:val="Heading2"/>
      </w:pPr>
      <w:r>
        <w:t>2. Stratégie de négociation et justification interne</w:t>
      </w:r>
    </w:p>
    <w:p>
      <w:pPr>
        <w:jc w:val="both"/>
      </w:pPr>
      <w:r>
        <w:rPr>
          <w:sz w:val="22"/>
        </w:rPr>
        <w:t>• Réunion urgente pour éviter la rupture.</w:t>
      </w:r>
    </w:p>
    <w:p>
      <w:pPr>
        <w:jc w:val="both"/>
      </w:pPr>
      <w:r>
        <w:rPr>
          <w:sz w:val="22"/>
        </w:rPr>
        <w:t>• Proposition d’évolution du cahier des charges.</w:t>
      </w:r>
    </w:p>
    <w:p>
      <w:pPr>
        <w:jc w:val="both"/>
      </w:pPr>
      <w:r>
        <w:rPr>
          <w:sz w:val="22"/>
        </w:rPr>
        <w:t>• Justification interne : qualité, coût, délais, respect RSE, co-construction durable.</w:t>
      </w:r>
    </w:p>
    <w:p>
      <w:pPr>
        <w:pStyle w:val="Heading2"/>
      </w:pPr>
      <w:r>
        <w:t>3. Gains attendus</w:t>
      </w:r>
    </w:p>
    <w:p>
      <w:pPr>
        <w:jc w:val="both"/>
      </w:pPr>
      <w:r>
        <w:rPr>
          <w:sz w:val="22"/>
        </w:rPr>
        <w:t>• Économie de +900 k€ sur la hausse tarifaire.</w:t>
      </w:r>
    </w:p>
    <w:p>
      <w:pPr>
        <w:jc w:val="both"/>
      </w:pPr>
      <w:r>
        <w:rPr>
          <w:sz w:val="22"/>
        </w:rPr>
        <w:t>• Réduction des retards de livraison.</w:t>
      </w:r>
    </w:p>
    <w:p>
      <w:pPr>
        <w:jc w:val="both"/>
      </w:pPr>
      <w:r>
        <w:rPr>
          <w:sz w:val="22"/>
        </w:rPr>
        <w:t>• Meilleure satisfaction client et image RSE renforcée.</w:t>
      </w:r>
    </w:p>
    <w:p>
      <w:pPr>
        <w:pStyle w:val="Heading1"/>
      </w:pPr>
      <w:r>
        <w:t>Dossier 3 : Litige avec SPACEJOB</w:t>
      </w:r>
    </w:p>
    <w:p>
      <w:pPr>
        <w:pStyle w:val="Heading2"/>
      </w:pPr>
      <w:r>
        <w:t>1. Solutions juridiques et commerciales</w:t>
      </w:r>
    </w:p>
    <w:p>
      <w:pPr>
        <w:jc w:val="both"/>
      </w:pPr>
      <w:r>
        <w:rPr>
          <w:sz w:val="22"/>
        </w:rPr>
        <w:t>• Juridiques : clause contractuelle de pénalité, acompte déjà payé, possibilité de négociation amiable.</w:t>
      </w:r>
    </w:p>
    <w:p>
      <w:pPr>
        <w:jc w:val="both"/>
      </w:pPr>
      <w:r>
        <w:rPr>
          <w:sz w:val="22"/>
        </w:rPr>
        <w:t>• Commerciales : réemploi partiel, adaptation pour la CPAM, proposition de collaboration avec un concurrent.</w:t>
      </w:r>
    </w:p>
    <w:p>
      <w:pPr>
        <w:pStyle w:val="Heading2"/>
      </w:pPr>
      <w:r>
        <w:t>2. Stratégie de sortie de crise</w:t>
      </w:r>
    </w:p>
    <w:p>
      <w:pPr>
        <w:jc w:val="both"/>
      </w:pPr>
      <w:r>
        <w:rPr>
          <w:sz w:val="22"/>
        </w:rPr>
        <w:t>• Évaluation des coûts restants et position de repli.</w:t>
      </w:r>
    </w:p>
    <w:p>
      <w:pPr>
        <w:jc w:val="both"/>
      </w:pPr>
      <w:r>
        <w:rPr>
          <w:sz w:val="22"/>
        </w:rPr>
        <w:t>• Dialogue ouvert avec SPACEJOB.</w:t>
      </w:r>
    </w:p>
    <w:p>
      <w:pPr>
        <w:jc w:val="both"/>
      </w:pPr>
      <w:r>
        <w:rPr>
          <w:sz w:val="22"/>
        </w:rPr>
        <w:t>• Proposition de réutilisation, cession partielle, ou avoir.</w:t>
      </w:r>
    </w:p>
    <w:p>
      <w:pPr>
        <w:jc w:val="both"/>
      </w:pPr>
      <w:r>
        <w:rPr>
          <w:sz w:val="22"/>
        </w:rPr>
        <w:t>• Maintien de la relation long terme si possible.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