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bidi w:val="0"/>
        <w:spacing w:before="240" w:after="120"/>
        <w:ind w:hanging="0" w:start="709"/>
        <w:jc w:val="start"/>
        <w:rPr>
          <w:rFonts w:cs="arial"/>
        </w:rPr>
      </w:pPr>
      <w:r>
        <w:rPr>
          <w:rFonts w:ascii="bookman oldstyle" w:hAnsi="bookman oldstyle"/>
          <w:i/>
          <w:iCs/>
          <w:sz w:val="28"/>
          <w:szCs w:val="28"/>
        </w:rPr>
      </w:r>
      <w:r>
        <mc:AlternateContent>
          <mc:Choice Requires="wps">
            <w:drawing>
              <wp:anchor behindDoc="0" distT="72390" distB="72390" distL="72390" distR="72390" simplePos="0" locked="0" layoutInCell="0" allowOverlap="1" relativeHeight="2">
                <wp:simplePos x="0" y="0"/>
                <wp:positionH relativeFrom="column">
                  <wp:posOffset>469900</wp:posOffset>
                </wp:positionH>
                <wp:positionV relativeFrom="paragraph">
                  <wp:posOffset>-127635</wp:posOffset>
                </wp:positionV>
                <wp:extent cx="2188845" cy="1687830"/>
                <wp:effectExtent l="0" t="0" r="63500" b="63500"/>
                <wp:wrapSquare wrapText="bothSides"/>
                <wp:docPr id="1" name="Frame1"/>
                <a:graphic xmlns:a="http://schemas.openxmlformats.org/drawingml/2006/main">
                  <a:graphicData uri="http://schemas.microsoft.com/office/word/2010/wordprocessingShape">
                    <wps:wsp>
                      <wps:cNvSpPr txBox="1"/>
                      <wps:spPr>
                        <a:xfrm>
                          <a:off x="0" y="0"/>
                          <a:ext cx="2252345" cy="1751330"/>
                        </a:xfrm>
                        <a:prstGeom prst="rect"/>
                        <a:solidFill>
                          <a:srgbClr val="FFFFFF"/>
                        </a:solidFill>
                        <a:ln>
                          <a:solidFill>
                            <a:srgbClr val="000000"/>
                          </a:solidFill>
                        </a:ln>
                        <a:effectLst>
                          <a:outerShdw dist="89535" dir="2700000">
                            <a:srgbClr val="333333"/>
                          </a:outerShdw>
                        </a:effectLst>
                      </wps:spPr>
                      <wps:txbx>
                        <w:txbxContent>
                          <w:p>
                            <w:pPr>
                              <w:pStyle w:val="FrameContents"/>
                              <w:bidi w:val="0"/>
                              <w:jc w:val="start"/>
                              <w:rPr>
                                <w:sz w:val="72"/>
                                <w:szCs w:val="72"/>
                              </w:rPr>
                            </w:pPr>
                            <w:r>
                              <w:rPr>
                                <w:sz w:val="72"/>
                                <w:szCs w:val="72"/>
                              </w:rPr>
                              <w:t xml:space="preserve"> </w:t>
                            </w:r>
                            <w:r>
                              <w:rPr>
                                <w:b/>
                                <w:bCs/>
                                <w:i/>
                                <w:iCs/>
                                <w:sz w:val="72"/>
                                <w:szCs w:val="72"/>
                              </w:rPr>
                              <w:t>Passer de l’autre côté</w:t>
                            </w:r>
                          </w:p>
                        </w:txbxContent>
                      </wps:txbx>
                      <wps:bodyPr anchor="t" lIns="54610" tIns="54610" rIns="54610" bIns="54610">
                        <a:noAutofit/>
                      </wps:bodyPr>
                    </wps:wsp>
                  </a:graphicData>
                </a:graphic>
              </wp:anchor>
            </w:drawing>
          </mc:Choice>
          <mc:Fallback>
            <w:pict>
              <v:rect strokecolor="#000000" strokeweight="0pt" style="position:absolute;rotation:-0;width:177.35pt;height:137.9pt;mso-wrap-distance-left:5.7pt;mso-wrap-distance-right:5.7pt;mso-wrap-distance-top:5.7pt;mso-wrap-distance-bottom:5.7pt;margin-top:-10.05pt;mso-position-vertical-relative:text;margin-left:37pt;mso-position-horizontal-relative:text">
                <v:shadow on="t" color="#333333" offset="5pt,5pt"/>
                <v:textbox inset="0.0597222222222222in,0.0597222222222222in,0.0597222222222222in,0.0597222222222222in">
                  <w:txbxContent>
                    <w:p>
                      <w:pPr>
                        <w:pStyle w:val="FrameContents"/>
                        <w:bidi w:val="0"/>
                        <w:jc w:val="start"/>
                        <w:rPr>
                          <w:sz w:val="72"/>
                          <w:szCs w:val="72"/>
                        </w:rPr>
                      </w:pPr>
                      <w:r>
                        <w:rPr>
                          <w:sz w:val="72"/>
                          <w:szCs w:val="72"/>
                        </w:rPr>
                        <w:t xml:space="preserve"> </w:t>
                      </w:r>
                      <w:r>
                        <w:rPr>
                          <w:b/>
                          <w:bCs/>
                          <w:i/>
                          <w:iCs/>
                          <w:sz w:val="72"/>
                          <w:szCs w:val="72"/>
                        </w:rPr>
                        <w:t>Passer de l’autre côté</w:t>
                      </w:r>
                    </w:p>
                  </w:txbxContent>
                </v:textbox>
                <w10:wrap type="square"/>
              </v:rect>
            </w:pict>
          </mc:Fallback>
        </mc:AlternateContent>
      </w:r>
    </w:p>
    <w:p>
      <w:pPr>
        <w:pStyle w:val="Title"/>
        <w:bidi w:val="0"/>
        <w:ind w:hanging="0" w:start="709"/>
        <w:jc w:val="start"/>
        <w:rPr>
          <w:rFonts w:cs="arial"/>
        </w:rPr>
      </w:pPr>
      <w:r>
        <w:rPr>
          <w:rFonts w:ascii="bookman oldstyle" w:hAnsi="bookman oldstyle"/>
          <w:i/>
          <w:iCs/>
          <w:sz w:val="28"/>
          <w:szCs w:val="28"/>
        </w:rPr>
      </w:r>
    </w:p>
    <w:p>
      <w:pPr>
        <w:pStyle w:val="Title"/>
        <w:numPr>
          <w:ilvl w:val="0"/>
          <w:numId w:val="0"/>
        </w:numPr>
        <w:bidi w:val="0"/>
        <w:ind w:hanging="0" w:start="709"/>
        <w:jc w:val="start"/>
        <w:rPr>
          <w:rFonts w:cs="arial"/>
        </w:rPr>
      </w:pPr>
      <w:r>
        <w:rPr>
          <w:rFonts w:ascii="bookman oldstyle" w:hAnsi="bookman oldstyle"/>
          <w:i/>
          <w:iCs/>
          <w:sz w:val="28"/>
          <w:szCs w:val="28"/>
        </w:rPr>
      </w:r>
    </w:p>
    <w:p>
      <w:pPr>
        <w:pStyle w:val="Title"/>
        <w:numPr>
          <w:ilvl w:val="0"/>
          <w:numId w:val="0"/>
        </w:numPr>
        <w:bidi w:val="0"/>
        <w:ind w:hanging="0" w:start="709"/>
        <w:jc w:val="start"/>
        <w:rPr>
          <w:rFonts w:cs="arial"/>
        </w:rPr>
      </w:pPr>
      <w:r>
        <w:rPr>
          <w:rFonts w:ascii="bookman oldstyle" w:hAnsi="bookman oldstyle"/>
          <w:i/>
          <w:iCs/>
          <w:sz w:val="28"/>
          <w:szCs w:val="28"/>
        </w:rPr>
      </w:r>
    </w:p>
    <w:p>
      <w:pPr>
        <w:pStyle w:val="Title"/>
        <w:numPr>
          <w:ilvl w:val="0"/>
          <w:numId w:val="3"/>
        </w:numPr>
        <w:bidi w:val="0"/>
        <w:ind w:hanging="0" w:start="709"/>
        <w:jc w:val="start"/>
        <w:rPr>
          <w:rFonts w:ascii="bookman oldstyle" w:hAnsi="bookman oldstyle"/>
          <w:i/>
          <w:i/>
          <w:iCs/>
          <w:sz w:val="28"/>
          <w:szCs w:val="28"/>
        </w:rPr>
      </w:pPr>
      <w:r>
        <w:rPr>
          <w:rFonts w:cs="arial" w:ascii="bookman oldstyle" w:hAnsi="bookman oldstyle"/>
          <w:i/>
          <w:iCs/>
          <w:sz w:val="28"/>
          <w:szCs w:val="28"/>
        </w:rPr>
        <w:t>P</w:t>
      </w:r>
      <w:r>
        <w:rPr>
          <w:rFonts w:cs="arial" w:ascii="bookman oldstyle" w:hAnsi="bookman oldstyle"/>
          <w:i/>
          <w:iCs/>
          <w:sz w:val="28"/>
          <w:szCs w:val="28"/>
        </w:rPr>
        <w:t>aragraphe 1:</w:t>
      </w:r>
    </w:p>
    <w:p>
      <w:pPr>
        <w:pStyle w:val="Title"/>
        <w:bidi w:val="0"/>
        <w:ind w:hanging="0" w:start="709"/>
        <w:jc w:val="start"/>
        <w:rPr>
          <w:rFonts w:ascii="bookman oldstyle" w:hAnsi="bookman oldstyle"/>
        </w:rPr>
      </w:pPr>
      <w:r>
        <w:rPr>
          <w:rFonts w:cs="arial" w:ascii="bookman oldstyle" w:hAnsi="bookman oldstyle"/>
          <w:b w:val="false"/>
          <w:bCs w:val="false"/>
          <w:sz w:val="24"/>
          <w:szCs w:val="24"/>
        </w:rPr>
        <w:tab/>
        <w:t xml:space="preserve">Les ordinateurs en ressemblent plus à ces </w:t>
      </w:r>
      <w:r>
        <w:rPr>
          <w:rFonts w:cs="arial" w:ascii="bookman oldstyle" w:hAnsi="bookman oldstyle"/>
          <w:b w:val="false"/>
          <w:bCs w:val="false"/>
          <w:sz w:val="24"/>
          <w:szCs w:val="24"/>
        </w:rPr>
        <w:t xml:space="preserve">compliquées et bruyantes des années 70. De nos jours, un simple bureau déploie mille fois de puissance que son ancêtre.  Sa taille diminuant, </w:t>
      </w:r>
      <w:r>
        <w:rPr>
          <w:rFonts w:cs="arial" w:ascii="bookman oldstyle" w:hAnsi="bookman oldstyle"/>
          <w:b w:val="false"/>
          <w:bCs w:val="false"/>
          <w:sz w:val="24"/>
          <w:szCs w:val="24"/>
        </w:rPr>
        <w:t>le PC est devenu quasiment un jeu d’assemblage. El avec l’avénement de l’entinum ||, le jeu se simplifie encore. Les barrelles mémoire de SDRAM sont montées dans leur support en un clin d’oeil et le processeur se pose dans son logement comme un rêv</w:t>
      </w:r>
      <w:r>
        <w:rPr>
          <w:rFonts w:cs="arial" w:ascii="bookman oldstyle" w:hAnsi="bookman oldstyle"/>
          <w:b w:val="false"/>
          <w:bCs w:val="false"/>
          <w:sz w:val="24"/>
          <w:szCs w:val="24"/>
        </w:rPr>
        <w:t xml:space="preserve">e : </w:t>
      </w:r>
    </w:p>
    <w:p>
      <w:pPr>
        <w:pStyle w:val="Title"/>
        <w:keepNext w:val="true"/>
        <w:tabs>
          <w:tab w:val="clear" w:pos="709"/>
          <w:tab w:val="left" w:pos="8910" w:leader="none"/>
          <w:tab w:val="left" w:pos="9000" w:leader="none"/>
        </w:tabs>
        <w:bidi w:val="0"/>
        <w:spacing w:before="240" w:after="120"/>
        <w:ind w:firstLine="9180" w:start="5760" w:end="809"/>
        <w:jc w:val="start"/>
        <w:rPr>
          <w:rFonts w:ascii="bookman oldstyle" w:hAnsi="bookman oldstyle"/>
          <w:b w:val="false"/>
          <w:bCs w:val="false"/>
        </w:rPr>
      </w:pPr>
      <w:r>
        <w:rPr>
          <w:rFonts w:cs="arial" w:ascii="bookman oldstyle" w:hAnsi="bookman oldstyle"/>
          <w:b w:val="false"/>
          <w:bCs w:val="false"/>
          <w:sz w:val="24"/>
          <w:szCs w:val="24"/>
        </w:rPr>
        <w:tab/>
        <w:tab/>
        <w:t>&lt;&lt; Récupérez d’anciennes pièces, vous ferez des économies&gt;&gt;</w:t>
      </w:r>
    </w:p>
    <w:p>
      <w:pPr>
        <w:pStyle w:val="BodyText"/>
        <w:numPr>
          <w:ilvl w:val="0"/>
          <w:numId w:val="2"/>
        </w:numPr>
        <w:bidi w:val="0"/>
        <w:ind w:hanging="0" w:start="709"/>
        <w:jc w:val="start"/>
        <w:rPr>
          <w:rFonts w:ascii="bookman oldstyle" w:hAnsi="bookman oldstyle"/>
          <w:b/>
          <w:bCs/>
          <w:i/>
          <w:i/>
          <w:iCs/>
          <w:sz w:val="28"/>
          <w:szCs w:val="28"/>
        </w:rPr>
      </w:pPr>
      <w:r>
        <w:rPr>
          <w:rFonts w:cs="arial" w:ascii="bookman oldstyle" w:hAnsi="bookman oldstyle"/>
          <w:b/>
          <w:bCs/>
          <w:i/>
          <w:iCs/>
          <w:sz w:val="28"/>
          <w:szCs w:val="28"/>
        </w:rPr>
        <w:t>Paragraphe 2 :</w:t>
      </w:r>
    </w:p>
    <w:p>
      <w:pPr>
        <w:pStyle w:val="BodyText"/>
        <w:bidi w:val="0"/>
        <w:spacing w:before="0" w:after="140"/>
        <w:ind w:hanging="0" w:start="709"/>
        <w:jc w:val="start"/>
        <w:rPr>
          <w:rFonts w:ascii="bookman oldstyle" w:hAnsi="bookman oldstyle"/>
          <w:b w:val="false"/>
          <w:bCs w:val="false"/>
          <w:i w:val="false"/>
          <w:i w:val="false"/>
          <w:iCs w:val="false"/>
          <w:sz w:val="24"/>
          <w:szCs w:val="24"/>
        </w:rPr>
      </w:pPr>
      <w:r>
        <w:rPr>
          <w:rFonts w:cs="arial" w:ascii="bookman oldstyle" w:hAnsi="bookman oldstyle"/>
          <w:b w:val="false"/>
          <w:bCs w:val="false"/>
          <w:i w:val="false"/>
          <w:iCs w:val="false"/>
          <w:sz w:val="24"/>
          <w:szCs w:val="24"/>
        </w:rPr>
        <w:tab/>
        <w:t xml:space="preserve">La première bonne raison pour passes à l’assemblage maison est sûrement celle qui vous laissera le plus complece : il est vraiment rare de trouver un assembleur qui accepten de vous monter à un prix </w:t>
      </w:r>
      <w:r>
        <w:rPr>
          <w:rFonts w:cs="arial" w:ascii="bookman oldstyle" w:hAnsi="bookman oldstyle"/>
          <w:b w:val="false"/>
          <w:bCs w:val="false"/>
          <w:i w:val="false"/>
          <w:iCs w:val="false"/>
          <w:sz w:val="24"/>
          <w:szCs w:val="24"/>
        </w:rPr>
        <w:t>raisonnable une configuration personnalisée. Cela se comprend d’un point de vue commercial. Il est facile d’assembler la chaîne les niêmes machines que de les personnaliser une par une. En opérent vous même; vous allez monter un configuration qui correnspendra en tous points à vos besoins. En plus vous prendrez le temps de chercher les prix les plus compétitifs pour chaque composant: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bookman oldstyle">
    <w:charset w:val="01"/>
    <w:family w:val="roman"/>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LibreOffice/24.2.7.2$Linux_X86_64 LibreOffice_project/420$Build-2</Application>
  <AppVersion>15.0000</AppVersion>
  <Pages>1</Pages>
  <Words>193</Words>
  <Characters>950</Characters>
  <CharactersWithSpaces>1139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2026-02-21T08:52:52Z</dcterms:created>
  <dc:creator/>
  <dc:description/>
  <dc:language>en-US</dc:language>
  <cp:lastModifiedBy/>
  <dcterms:modified xsi:type="dcterms:W3CDTF">2026-02-21T11:08:10Z</dcterms:modified>
  <cp:revision>4</cp:revision>
  <dc:subject/>
  <dc:title/>
</cp:coreProperties>
</file>