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Arial" w:cs="Arial" w:eastAsia="Arial" w:hAnsi="Arial"/>
        </w:rPr>
        <w:t xml:space="preserve"/>
      </w:r>
    </w:p>
    <w:p>
      <w:pPr>
        <w:jc w:val="center"/>
      </w:pPr>
      <w:r>
        <w:rPr>
          <w:rFonts w:ascii="Arial" w:cs="Arial" w:eastAsia="Arial" w:hAnsi="Arial"/>
          <w:b/>
          <w:bCs/>
          <w:color w:val="1F3864"/>
          <w:sz w:val="96"/>
          <w:szCs w:val="96"/>
        </w:rPr>
        <w:t xml:space="preserve">WOM</w:t>
      </w:r>
    </w:p>
    <w:p>
      <w:pPr>
        <w:spacing w:after="60" w:before="0"/>
        <w:jc w:val="center"/>
      </w:pPr>
      <w:r>
        <w:rPr>
          <w:rFonts w:ascii="Arial" w:cs="Arial" w:eastAsia="Arial" w:hAnsi="Arial"/>
          <w:b/>
          <w:bCs/>
          <w:color w:val="2E75B6"/>
          <w:sz w:val="40"/>
          <w:szCs w:val="40"/>
        </w:rPr>
        <w:t xml:space="preserve">Weekly Operation Model</w:t>
      </w:r>
    </w:p>
    <w:p>
      <w:pPr>
        <w:spacing w:after="60" w:before="160"/>
        <w:jc w:val="center"/>
      </w:pPr>
      <w:r>
        <w:rPr>
          <w:rFonts w:ascii="Arial" w:cs="Arial" w:eastAsia="Arial" w:hAnsi="Arial"/>
          <w:b/>
          <w:bCs/>
          <w:color w:val="1F3864"/>
          <w:sz w:val="56"/>
          <w:szCs w:val="56"/>
        </w:rPr>
        <w:t xml:space="preserve">経 営 者 操 作 ガ イ ド</w:t>
      </w:r>
    </w:p>
    <w:p>
      <w:pPr>
        <w:spacing w:after="400" w:before="0"/>
        <w:jc w:val="center"/>
      </w:pPr>
      <w:r>
        <w:rPr>
          <w:rFonts w:ascii="Arial" w:cs="Arial" w:eastAsia="Arial" w:hAnsi="Arial"/>
          <w:color w:val="595959"/>
          <w:sz w:val="32"/>
          <w:szCs w:val="32"/>
        </w:rPr>
        <w:t xml:space="preserve">v1r0m0</w:t>
      </w:r>
    </w:p>
    <w:p>
      <w:pPr>
        <w:pBdr>
          <w:top w:val="single" w:color="2E75B6" w:sz="6"/>
          <w:bottom w:val="single" w:color="2E75B6" w:sz="6"/>
        </w:pBdr>
        <w:spacing w:after="120" w:before="120"/>
        <w:jc w:val="center"/>
      </w:pPr>
      <w:r>
        <w:rPr>
          <w:rFonts w:ascii="Arial" w:cs="Arial" w:eastAsia="Arial" w:hAnsi="Arial"/>
          <w:color w:val="2E75B6"/>
          <w:sz w:val="28"/>
          <w:szCs w:val="28"/>
        </w:rPr>
        <w:t xml:space="preserve">CEO / CFO / COO のための意思決定支援ガイド</w:t>
      </w:r>
    </w:p>
    <w:p>
      <w:pPr>
        <w:spacing w:after="0" w:before="600"/>
      </w:pPr>
      <w:r>
        <w:rPr>
          <w:rFonts w:ascii="Arial" w:cs="Arial" w:eastAsia="Arial" w:hAnsi="Arial"/>
        </w:rPr>
        <w:t xml:space="preserve"/>
      </w:r>
    </w:p>
    <w:p>
      <w:pPr>
        <w:jc w:val="center"/>
      </w:pPr>
      <w:r>
        <w:rPr>
          <w:rFonts w:ascii="Arial" w:cs="Arial" w:eastAsia="Arial" w:hAnsi="Arial"/>
          <w:color w:val="595959"/>
          <w:sz w:val="22"/>
          <w:szCs w:val="22"/>
        </w:rPr>
        <w:t xml:space="preserve">Japanese Rice Case  (Koshihikari / Yumepirika)  2026-2028</w:t>
      </w:r>
    </w:p>
    <w:p>
      <w:pPr>
        <w:spacing w:after="0" w:before="60"/>
        <w:jc w:val="center"/>
      </w:pPr>
      <w:r>
        <w:rPr>
          <w:rFonts w:ascii="Arial" w:cs="Arial" w:eastAsia="Arial" w:hAnsi="Arial"/>
          <w:color w:val="595959"/>
          <w:sz w:val="22"/>
          <w:szCs w:val="22"/>
        </w:rPr>
        <w:t xml:space="preserve">2026年6月  初版</w:t>
      </w:r>
    </w:p>
    <w:p>
      <w:r>
        <w:br w:type="page"/>
      </w:r>
    </w:p>
    <w:p>
      <w:pPr>
        <w:spacing w:after="200" w:before="200"/>
        <w:jc w:val="center"/>
      </w:pPr>
      <w:r>
        <w:rPr>
          <w:rFonts w:ascii="Arial" w:cs="Arial" w:eastAsia="Arial" w:hAnsi="Arial"/>
          <w:b/>
          <w:bCs/>
          <w:color w:val="1F3864"/>
          <w:sz w:val="32"/>
          <w:szCs w:val="32"/>
        </w:rPr>
        <w:t xml:space="preserve">目　次</w:t>
      </w:r>
    </w:p>
    <w:sdt>
      <w:sdtPr>
        <w:alias w:val="目次"/>
      </w:sdtPr>
      <w:sdtContent>
        <w:p>
          <w:r>
            <w:fldChar w:fldCharType="begin" w:dirty="true"/>
            <w:instrText xml:space="preserve">TOC \h \o "1-3"</w:instrText>
            <w:fldChar w:fldCharType="separate"/>
          </w:r>
        </w:p>
        <w:p>
          <w:r>
            <w:fldChar w:fldCharType="end"/>
          </w:r>
        </w:p>
      </w:sdtContent>
    </w:sdt>
    <w:p>
      <w:r>
        <w:br w:type="page"/>
      </w:r>
    </w:p>
    <w:p>
      <w:pPr>
        <w:pStyle w:val="Heading1"/>
        <w:shd w:fill="1F3864" w:val="clear"/>
        <w:spacing w:after="120" w:before="360"/>
        <w:ind w:left="120"/>
      </w:pPr>
      <w:r>
        <w:rPr>
          <w:rFonts w:ascii="Arial" w:cs="Arial" w:eastAsia="Arial" w:hAnsi="Arial"/>
          <w:b/>
          <w:bCs/>
          <w:color w:val="FFFFFF"/>
          <w:sz w:val="36"/>
          <w:szCs w:val="36"/>
        </w:rPr>
        <w:t xml:space="preserve">WOM とは</w:t>
      </w:r>
    </w:p>
    <w:p>
      <w:pPr>
        <w:spacing w:after="0" w:before="120"/>
      </w:pPr>
      <w:r>
        <w:rPr>
          <w:rFonts w:ascii="Arial" w:cs="Arial" w:eastAsia="Arial" w:hAnsi="Arial"/>
        </w:rPr>
        <w:t xml:space="preserve"/>
      </w:r>
    </w:p>
    <w:p>
      <w:pPr>
        <w:spacing w:after="60" w:before="60"/>
      </w:pPr>
      <w:r>
        <w:rPr>
          <w:rFonts w:ascii="Arial" w:cs="Arial" w:eastAsia="Arial" w:hAnsi="Arial"/>
          <w:sz w:val="22"/>
          <w:szCs w:val="22"/>
        </w:rPr>
        <w:t xml:space="preserve">WOM（Weekly Operation Model）は、サプライチェーンの計画・評価・意思決定を一体的に支援するシミュレーターです。需要予測から生産・在庫・販売の週次PSI（Production / Sales / Inventory）計画を自動算出し、PPC（Profit / Price / Cost）財務KPIと連動させることで、経営層がリアルタイムで「今何が起きているか」「シナリオを変えたらどうなるか」を判断できる環境を提供します。</w:t>
      </w:r>
    </w:p>
    <w:p>
      <w:pPr>
        <w:spacing w:after="0" w:before="8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対象ユーザー</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CEO / CFO / COO、SC担当役員、計画部門マネージャー</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主な用途</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年度計画レビュー、シナリオ分析、突発イベント対応</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データモデル</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PSI（数量）+ PPC（金額）+ 物流コスト（Landed Cost）</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計画期間</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156週（約3年）、週次グラニュラリティ</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シナリオ数</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同時3シナリオ（Base / Upside / Downside）+ Landed Costシナリオ</w:t>
            </w:r>
          </w:p>
        </w:tc>
      </w:tr>
    </w:tbl>
    <w:p>
      <w:pPr>
        <w:spacing w:after="0" w:before="120"/>
      </w:pPr>
      <w:r>
        <w:rPr>
          <w:rFonts w:ascii="Arial" w:cs="Arial" w:eastAsia="Arial" w:hAnsi="Arial"/>
        </w:rPr>
        <w:t xml:space="preserve"/>
      </w:r>
    </w:p>
    <w:p>
      <w:pPr>
        <w:pStyle w:val="Heading3"/>
        <w:pBdr>
          <w:bottom w:val="single" w:color="2E75B6" w:sz="4"/>
        </w:pBdr>
        <w:spacing w:after="80" w:before="200"/>
      </w:pPr>
      <w:r>
        <w:rPr>
          <w:rFonts w:ascii="Arial" w:cs="Arial" w:eastAsia="Arial" w:hAnsi="Arial"/>
          <w:b/>
          <w:bCs/>
          <w:color w:val="1F3864"/>
          <w:sz w:val="24"/>
          <w:szCs w:val="24"/>
        </w:rPr>
        <w:t xml:space="preserve">WOM GUI 全体構成</w:t>
      </w:r>
    </w:p>
    <w:p>
      <w:pPr>
        <w:spacing w:after="0" w:before="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左パネル</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モデル設定（安全在庫・LT・キャパシティ）、入力ファイル、シナリオ倍率、実行ボタン、プラグイン</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Charts タブ</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週次需給グラフ（需要 vs 供給入荷）の時系列表示</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KPI Table</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全SKU・全期間の計画KPI一覧テーブル</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At-Risk SKUs</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欠品・在庫過剰リスクSKUの自動抽出</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Scenario Delta</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Base vs Upside/Downside のデルタ比較</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Management タブ</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経営KPI全体（P&amp;L・Strategic 5 KPI・CCC・Landed Cost Impact）</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PPC タブ</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利益・価格・コストの週次財務シミュレーション（PSI自動連携）</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Network タブ</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SCネットワーク可視化 + 各ノードのPSIチャート</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World Map タブ</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地図上のSC拠点可視化</w:t>
            </w:r>
          </w:p>
        </w:tc>
      </w:tr>
    </w:tbl>
    <w:p>
      <w:r>
        <w:br w:type="page"/>
      </w:r>
    </w:p>
    <w:p>
      <w:pPr>
        <w:pStyle w:val="Heading1"/>
        <w:shd w:fill="1F3864" w:val="clear"/>
        <w:spacing w:after="120" w:before="360"/>
        <w:ind w:left="120"/>
      </w:pPr>
      <w:r>
        <w:rPr>
          <w:rFonts w:ascii="Arial" w:cs="Arial" w:eastAsia="Arial" w:hAnsi="Arial"/>
          <w:b/>
          <w:bCs/>
          <w:color w:val="FFFFFF"/>
          <w:sz w:val="36"/>
          <w:szCs w:val="36"/>
        </w:rPr>
        <w:t xml:space="preserve">Part 1: 年度計画レビューの流れ</w:t>
      </w:r>
    </w:p>
    <w:p>
      <w:pPr>
        <w:spacing w:after="0" w:before="120"/>
      </w:pPr>
      <w:r>
        <w:rPr>
          <w:rFonts w:ascii="Arial" w:cs="Arial" w:eastAsia="Arial" w:hAnsi="Arial"/>
        </w:rPr>
        <w:t xml:space="preserve"/>
      </w:r>
    </w:p>
    <w:p>
      <w:pPr>
        <w:spacing w:after="60" w:before="60"/>
      </w:pPr>
      <w:r>
        <w:rPr>
          <w:rFonts w:ascii="Arial" w:cs="Arial" w:eastAsia="Arial" w:hAnsi="Arial"/>
          <w:sz w:val="22"/>
          <w:szCs w:val="22"/>
        </w:rPr>
        <w:t xml:space="preserve">Planning Engine 実行後、以下の順序でタブを確認することで、サプライチェーンの健全性を体系的に評価できます。</w:t>
      </w:r>
    </w:p>
    <w:p>
      <w:pPr>
        <w:spacing w:after="0" w:before="8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年度計画レビューの推奨フロー（4ステップ）</w:t>
            </w:r>
          </w:p>
        </w:tc>
      </w:tr>
      <w:tr>
        <w:tc>
          <w:tcPr>
            <w:tcW w:type="dxa" w:w="9026"/>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60"/>
            </w:tcMar>
          </w:tcPr>
          <w:p>
            <w:r>
              <w:rPr>
                <w:rFonts w:ascii="Arial" w:cs="Arial" w:eastAsia="Arial" w:hAnsi="Arial"/>
                <w:sz w:val="21"/>
                <w:szCs w:val="21"/>
              </w:rPr>
              <w:t xml:space="preserve">Step 1: Charts タブ  &gt;&gt; 需要トレンドと供給入荷の一致度を確認</w:t>
            </w:r>
          </w:p>
        </w:tc>
      </w:tr>
      <w:tr>
        <w:tc>
          <w:tcPr>
            <w:tcW w:type="dxa" w:w="9026"/>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60"/>
            </w:tcMar>
          </w:tcPr>
          <w:p>
            <w:r>
              <w:rPr>
                <w:rFonts w:ascii="Arial" w:cs="Arial" w:eastAsia="Arial" w:hAnsi="Arial"/>
                <w:sz w:val="21"/>
                <w:szCs w:val="21"/>
              </w:rPr>
              <w:t xml:space="preserve">Step 2: At-Risk SKUs  &gt;&gt; 欠品・過剰在庫リスクSKUを把握</w:t>
            </w:r>
          </w:p>
        </w:tc>
      </w:tr>
      <w:tr>
        <w:tc>
          <w:tcPr>
            <w:tcW w:type="dxa" w:w="9026"/>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60"/>
            </w:tcMar>
          </w:tcPr>
          <w:p>
            <w:r>
              <w:rPr>
                <w:rFonts w:ascii="Arial" w:cs="Arial" w:eastAsia="Arial" w:hAnsi="Arial"/>
                <w:sz w:val="21"/>
                <w:szCs w:val="21"/>
              </w:rPr>
              <w:t xml:space="preserve">Step 3: Management タブ  &gt;&gt; Strategic 5 KPI で Operations の健全性を評価</w:t>
            </w:r>
          </w:p>
        </w:tc>
      </w:tr>
      <w:tr>
        <w:tc>
          <w:tcPr>
            <w:tcW w:type="dxa" w:w="9026"/>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60"/>
            </w:tcMar>
          </w:tcPr>
          <w:p>
            <w:r>
              <w:rPr>
                <w:rFonts w:ascii="Arial" w:cs="Arial" w:eastAsia="Arial" w:hAnsi="Arial"/>
                <w:sz w:val="21"/>
                <w:szCs w:val="21"/>
              </w:rPr>
              <w:t xml:space="preserve">Step 4: PPC タブ  &gt;&gt; 利益構造（Profit Zone）と Gross Margin を確認</w:t>
            </w:r>
          </w:p>
        </w:tc>
      </w:tr>
    </w:tbl>
    <w:p>
      <w:pPr>
        <w:spacing w:after="0" w:before="160"/>
      </w:pPr>
      <w:r>
        <w:rPr>
          <w:rFonts w:ascii="Arial" w:cs="Arial" w:eastAsia="Arial" w:hAnsi="Arial"/>
        </w:rPr>
        <w:t xml:space="preserve"/>
      </w:r>
    </w:p>
    <w:p>
      <w:pPr>
        <w:pStyle w:val="Heading2"/>
        <w:shd w:fill="2E75B6" w:val="clear"/>
        <w:spacing w:after="80" w:before="280"/>
        <w:ind w:left="120"/>
      </w:pPr>
      <w:r>
        <w:rPr>
          <w:rFonts w:ascii="Arial" w:cs="Arial" w:eastAsia="Arial" w:hAnsi="Arial"/>
          <w:b/>
          <w:bCs/>
          <w:color w:val="FFFFFF"/>
          <w:sz w:val="28"/>
          <w:szCs w:val="28"/>
        </w:rPr>
        <w:t xml:space="preserve">1.1  需要の状態確認（Charts タブ）</w:t>
      </w:r>
    </w:p>
    <w:p>
      <w:pPr>
        <w:spacing w:after="0" w:before="120"/>
      </w:pPr>
      <w:r>
        <w:rPr>
          <w:rFonts w:ascii="Arial" w:cs="Arial" w:eastAsia="Arial" w:hAnsi="Arial"/>
        </w:rPr>
        <w:t xml:space="preserve"/>
      </w:r>
    </w:p>
    <w:p>
      <w:pPr>
        <w:pStyle w:val="Heading3"/>
        <w:pBdr>
          <w:bottom w:val="single" w:color="2E75B6" w:sz="4"/>
        </w:pBdr>
        <w:spacing w:after="80" w:before="200"/>
      </w:pPr>
      <w:r>
        <w:rPr>
          <w:rFonts w:ascii="Arial" w:cs="Arial" w:eastAsia="Arial" w:hAnsi="Arial"/>
          <w:b/>
          <w:bCs/>
          <w:color w:val="1F3864"/>
          <w:sz w:val="24"/>
          <w:szCs w:val="24"/>
        </w:rPr>
        <w:t xml:space="preserve">画面の見方</w:t>
      </w:r>
    </w:p>
    <w:p>
      <w:pPr>
        <w:spacing w:after="60" w:before="60"/>
      </w:pPr>
      <w:r>
        <w:rPr>
          <w:rFonts w:ascii="Arial" w:cs="Arial" w:eastAsia="Arial" w:hAnsi="Arial"/>
          <w:sz w:val="22"/>
          <w:szCs w:val="22"/>
        </w:rPr>
        <w:t xml:space="preserve">Charts タブを開き、上部の「Chart」プルダウンから </w:t>
      </w:r>
      <w:r>
        <w:rPr>
          <w:rFonts w:ascii="Arial" w:cs="Arial" w:eastAsia="Arial" w:hAnsi="Arial"/>
          <w:b/>
          <w:bCs/>
          <w:sz w:val="22"/>
          <w:szCs w:val="22"/>
        </w:rPr>
        <w:t xml:space="preserve">Weekly Demand vs Supply Receipts</w:t>
      </w:r>
      <w:r>
        <w:rPr>
          <w:rFonts w:ascii="Arial" w:cs="Arial" w:eastAsia="Arial" w:hAnsi="Arial"/>
          <w:sz w:val="22"/>
          <w:szCs w:val="22"/>
        </w:rPr>
        <w:t xml:space="preserve"> を選択します。</w:t>
      </w:r>
    </w:p>
    <w:p>
      <w:pPr>
        <w:spacing w:after="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青線（Planning Demand）</w:t>
            </w:r>
          </w:p>
        </w:tc>
        <w:tc>
          <w:tcPr>
            <w:tcW w:type="dxa" w:w="6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週次需要計画。需要予測CSVから読み込んだ数値。収穫バッチの影響で季節変動する。</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破線（Planning Receipt）</w:t>
            </w:r>
          </w:p>
        </w:tc>
        <w:tc>
          <w:tcPr>
            <w:tcW w:type="dxa" w:w="6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生産・入荷計画。Planning Engine が算出した供給側の週次入荷量。</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青線 &gt; 破線（乖離）</w:t>
            </w:r>
          </w:p>
        </w:tc>
        <w:tc>
          <w:tcPr>
            <w:tcW w:type="dxa" w:w="6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供給不足（欠品リスク）。At-Risk SKUs に自動フラグ。</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破線 &gt; 青線（乖離）</w:t>
            </w:r>
          </w:p>
        </w:tc>
        <w:tc>
          <w:tcPr>
            <w:tcW w:type="dxa" w:w="6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供給過剰（在庫滞留リスク）。在庫滞留率KPIに影響。</w:t>
            </w:r>
          </w:p>
        </w:tc>
      </w:tr>
    </w:tbl>
    <w:p>
      <w:pPr>
        <w:spacing w:after="0" w:before="120"/>
      </w:pPr>
      <w:r>
        <w:rPr>
          <w:rFonts w:ascii="Arial" w:cs="Arial" w:eastAsia="Arial" w:hAnsi="Arial"/>
        </w:rPr>
        <w:t xml:space="preserve"/>
      </w:r>
    </w:p>
    <w:p>
      <w:pPr>
        <w:pStyle w:val="Heading3"/>
        <w:pBdr>
          <w:bottom w:val="single" w:color="2E75B6" w:sz="4"/>
        </w:pBdr>
        <w:spacing w:after="80" w:before="200"/>
      </w:pPr>
      <w:r>
        <w:rPr>
          <w:rFonts w:ascii="Arial" w:cs="Arial" w:eastAsia="Arial" w:hAnsi="Arial"/>
          <w:b/>
          <w:bCs/>
          <w:color w:val="1F3864"/>
          <w:sz w:val="24"/>
          <w:szCs w:val="24"/>
        </w:rPr>
        <w:t xml:space="preserve">CEO/COO の注目ポイント</w:t>
      </w:r>
    </w:p>
    <w:p>
      <w:pPr>
        <w:pStyle w:val="ListParagraph"/>
        <w:numPr>
          <w:ilvl w:val="0"/>
          <w:numId w:val="2"/>
        </w:numPr>
        <w:spacing w:after="40" w:before="40"/>
      </w:pPr>
      <w:r>
        <w:rPr>
          <w:rFonts w:ascii="Arial" w:cs="Arial" w:eastAsia="Arial" w:hAnsi="Arial"/>
          <w:sz w:val="22"/>
          <w:szCs w:val="22"/>
        </w:rPr>
        <w:t xml:space="preserve">需要の水準が前年比でどう推移しているか（上昇・横ばい・下降）</w:t>
      </w:r>
    </w:p>
    <w:p>
      <w:pPr>
        <w:pStyle w:val="ListParagraph"/>
        <w:numPr>
          <w:ilvl w:val="0"/>
          <w:numId w:val="2"/>
        </w:numPr>
        <w:spacing w:after="40" w:before="40"/>
      </w:pPr>
      <w:r>
        <w:rPr>
          <w:rFonts w:ascii="Arial" w:cs="Arial" w:eastAsia="Arial" w:hAnsi="Arial"/>
          <w:sz w:val="22"/>
          <w:szCs w:val="22"/>
        </w:rPr>
        <w:t xml:space="preserve">収穫バッチによる季節性パターンを把握する（Koshihikari：9〜11月大量入荷）</w:t>
      </w:r>
    </w:p>
    <w:p>
      <w:pPr>
        <w:pStyle w:val="ListParagraph"/>
        <w:numPr>
          <w:ilvl w:val="0"/>
          <w:numId w:val="2"/>
        </w:numPr>
        <w:spacing w:after="40" w:before="40"/>
      </w:pPr>
      <w:r>
        <w:rPr>
          <w:rFonts w:ascii="Arial" w:cs="Arial" w:eastAsia="Arial" w:hAnsi="Arial"/>
          <w:sz w:val="22"/>
          <w:szCs w:val="22"/>
        </w:rPr>
        <w:t xml:space="preserve">需給乖離が発生する週・地域・SKUを特定する</w:t>
      </w:r>
    </w:p>
    <w:p>
      <w:pPr>
        <w:pStyle w:val="ListParagraph"/>
        <w:numPr>
          <w:ilvl w:val="0"/>
          <w:numId w:val="2"/>
        </w:numPr>
        <w:spacing w:after="40" w:before="40"/>
      </w:pPr>
      <w:r>
        <w:rPr>
          <w:rFonts w:ascii="Arial" w:cs="Arial" w:eastAsia="Arial" w:hAnsi="Arial"/>
          <w:sz w:val="22"/>
          <w:szCs w:val="22"/>
        </w:rPr>
        <w:t xml:space="preserve">Upside（需要×1.2）シナリオで供給能力が追従できるか確認する</w:t>
      </w:r>
    </w:p>
    <w:p>
      <w:pPr>
        <w:spacing w:after="0" w:before="120"/>
      </w:pPr>
      <w:r>
        <w:rPr>
          <w:rFonts w:ascii="Arial" w:cs="Arial" w:eastAsia="Arial" w:hAnsi="Arial"/>
        </w:rPr>
        <w:t xml:space="preserve"/>
      </w:r>
    </w:p>
    <w:p>
      <w:pPr>
        <w:pStyle w:val="Heading3"/>
        <w:pBdr>
          <w:bottom w:val="single" w:color="2E75B6" w:sz="4"/>
        </w:pBdr>
        <w:spacing w:after="80" w:before="200"/>
      </w:pPr>
      <w:r>
        <w:rPr>
          <w:rFonts w:ascii="Arial" w:cs="Arial" w:eastAsia="Arial" w:hAnsi="Arial"/>
          <w:b/>
          <w:bCs/>
          <w:color w:val="1F3864"/>
          <w:sz w:val="24"/>
          <w:szCs w:val="24"/>
        </w:rPr>
        <w:t xml:space="preserve">操作手順</w:t>
      </w:r>
    </w:p>
    <w:p>
      <w:pPr>
        <w:pStyle w:val="ListParagraph"/>
        <w:numPr>
          <w:ilvl w:val="0"/>
          <w:numId w:val="3"/>
        </w:numPr>
        <w:spacing w:after="40" w:before="40"/>
      </w:pPr>
      <w:r>
        <w:rPr>
          <w:rFonts w:ascii="Arial" w:cs="Arial" w:eastAsia="Arial" w:hAnsi="Arial"/>
          <w:sz w:val="22"/>
          <w:szCs w:val="22"/>
        </w:rPr>
        <w:t xml:space="preserve">Charts タブをクリック</w:t>
      </w:r>
    </w:p>
    <w:p>
      <w:pPr>
        <w:pStyle w:val="ListParagraph"/>
        <w:numPr>
          <w:ilvl w:val="0"/>
          <w:numId w:val="3"/>
        </w:numPr>
        <w:spacing w:after="40" w:before="40"/>
      </w:pPr>
      <w:r>
        <w:rPr>
          <w:rFonts w:ascii="Arial" w:cs="Arial" w:eastAsia="Arial" w:hAnsi="Arial"/>
          <w:sz w:val="22"/>
          <w:szCs w:val="22"/>
        </w:rPr>
        <w:t xml:space="preserve">SKU プルダウン：「Koshihikari」または「Yumepirika」を選択</w:t>
      </w:r>
    </w:p>
    <w:p>
      <w:pPr>
        <w:pStyle w:val="ListParagraph"/>
        <w:numPr>
          <w:ilvl w:val="0"/>
          <w:numId w:val="3"/>
        </w:numPr>
        <w:spacing w:after="40" w:before="40"/>
      </w:pPr>
      <w:r>
        <w:rPr>
          <w:rFonts w:ascii="Arial" w:cs="Arial" w:eastAsia="Arial" w:hAnsi="Arial"/>
          <w:sz w:val="22"/>
          <w:szCs w:val="22"/>
        </w:rPr>
        <w:t xml:space="preserve">Region プルダウン：「ALL」→ 地域別に絞り込み</w:t>
      </w:r>
    </w:p>
    <w:p>
      <w:pPr>
        <w:pStyle w:val="ListParagraph"/>
        <w:numPr>
          <w:ilvl w:val="0"/>
          <w:numId w:val="3"/>
        </w:numPr>
        <w:spacing w:after="40" w:before="40"/>
      </w:pPr>
      <w:r>
        <w:rPr>
          <w:rFonts w:ascii="Arial" w:cs="Arial" w:eastAsia="Arial" w:hAnsi="Arial"/>
          <w:sz w:val="22"/>
          <w:szCs w:val="22"/>
        </w:rPr>
        <w:t xml:space="preserve">「Refresh」ボタンをクリックしてグラフを更新</w:t>
      </w:r>
    </w:p>
    <w:p>
      <w:pPr>
        <w:pStyle w:val="ListParagraph"/>
        <w:numPr>
          <w:ilvl w:val="0"/>
          <w:numId w:val="3"/>
        </w:numPr>
        <w:spacing w:after="40" w:before="40"/>
      </w:pPr>
      <w:r>
        <w:rPr>
          <w:rFonts w:ascii="Arial" w:cs="Arial" w:eastAsia="Arial" w:hAnsi="Arial"/>
          <w:sz w:val="22"/>
          <w:szCs w:val="22"/>
        </w:rPr>
        <w:t xml:space="preserve">ツールバーの拡大（Q）・移動（矢印）で対象期間をズームイン</w:t>
      </w:r>
    </w:p>
    <w:p>
      <w:pPr>
        <w:spacing w:after="0" w:before="200"/>
      </w:pPr>
      <w:r>
        <w:rPr>
          <w:rFonts w:ascii="Arial" w:cs="Arial" w:eastAsia="Arial" w:hAnsi="Arial"/>
        </w:rPr>
        <w:t xml:space="preserve"/>
      </w:r>
    </w:p>
    <w:p>
      <w:pPr>
        <w:pStyle w:val="Heading2"/>
        <w:shd w:fill="2E75B6" w:val="clear"/>
        <w:spacing w:after="80" w:before="280"/>
        <w:ind w:left="120"/>
      </w:pPr>
      <w:r>
        <w:rPr>
          <w:rFonts w:ascii="Arial" w:cs="Arial" w:eastAsia="Arial" w:hAnsi="Arial"/>
          <w:b/>
          <w:bCs/>
          <w:color w:val="FFFFFF"/>
          <w:sz w:val="28"/>
          <w:szCs w:val="28"/>
        </w:rPr>
        <w:t xml:space="preserve">1.2  需給バランス判定（At-Risk SKUs）</w:t>
      </w:r>
    </w:p>
    <w:p>
      <w:pPr>
        <w:spacing w:after="0" w:before="120"/>
      </w:pPr>
      <w:r>
        <w:rPr>
          <w:rFonts w:ascii="Arial" w:cs="Arial" w:eastAsia="Arial" w:hAnsi="Arial"/>
        </w:rPr>
        <w:t xml:space="preserve"/>
      </w:r>
    </w:p>
    <w:p>
      <w:pPr>
        <w:pStyle w:val="Heading3"/>
        <w:pBdr>
          <w:bottom w:val="single" w:color="2E75B6" w:sz="4"/>
        </w:pBdr>
        <w:spacing w:after="80" w:before="200"/>
      </w:pPr>
      <w:r>
        <w:rPr>
          <w:rFonts w:ascii="Arial" w:cs="Arial" w:eastAsia="Arial" w:hAnsi="Arial"/>
          <w:b/>
          <w:bCs/>
          <w:color w:val="1F3864"/>
          <w:sz w:val="24"/>
          <w:szCs w:val="24"/>
        </w:rPr>
        <w:t xml:space="preserve">At-Risk SKUs タブの概要</w:t>
      </w:r>
    </w:p>
    <w:p>
      <w:pPr>
        <w:spacing w:after="60" w:before="60"/>
      </w:pPr>
      <w:r>
        <w:rPr>
          <w:rFonts w:ascii="Arial" w:cs="Arial" w:eastAsia="Arial" w:hAnsi="Arial"/>
          <w:sz w:val="22"/>
          <w:szCs w:val="22"/>
        </w:rPr>
        <w:t xml:space="preserve">Planning Engine 実行後、At-Risk SKUs タブに欠品リスクのあるSKUが自動一覧表示されます。各行は「どのSKU・どのDC・どの週で供給不足が発生するか」を示します。</w:t>
      </w:r>
    </w:p>
    <w:p>
      <w:pPr>
        <w:spacing w:after="0" w:before="8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欠品リスク（CO発生）</w:t>
            </w:r>
          </w:p>
        </w:tc>
        <w:tc>
          <w:tcPr>
            <w:tcW w:type="dxa" w:w="6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在庫ゼロで需要を満たせない状態。Carryover（CO）ロットが翌週以降に繰り越し。</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供給逼迫率</w:t>
            </w:r>
          </w:p>
        </w:tc>
        <w:tc>
          <w:tcPr>
            <w:tcW w:type="dxa" w:w="6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（欠品数量 / 需要数量）x 100%。高いほど供給制約が深刻。</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滞留リスク</w:t>
            </w:r>
          </w:p>
        </w:tc>
        <w:tc>
          <w:tcPr>
            <w:tcW w:type="dxa" w:w="6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安全在庫の50%超が3週以上継続。需要不足か生産過剰。</w:t>
            </w:r>
          </w:p>
        </w:tc>
      </w:tr>
    </w:tbl>
    <w:p>
      <w:pPr>
        <w:spacing w:after="0" w:before="120"/>
      </w:pPr>
      <w:r>
        <w:rPr>
          <w:rFonts w:ascii="Arial" w:cs="Arial" w:eastAsia="Arial" w:hAnsi="Arial"/>
        </w:rPr>
        <w:t xml:space="preserve"/>
      </w:r>
    </w:p>
    <w:p>
      <w:pPr>
        <w:pStyle w:val="Heading3"/>
        <w:pBdr>
          <w:bottom w:val="single" w:color="2E75B6" w:sz="4"/>
        </w:pBdr>
        <w:spacing w:after="80" w:before="200"/>
      </w:pPr>
      <w:r>
        <w:rPr>
          <w:rFonts w:ascii="Arial" w:cs="Arial" w:eastAsia="Arial" w:hAnsi="Arial"/>
          <w:b/>
          <w:bCs/>
          <w:color w:val="1F3864"/>
          <w:sz w:val="24"/>
          <w:szCs w:val="24"/>
        </w:rPr>
        <w:t xml:space="preserve">判断ロジック</w:t>
      </w:r>
    </w:p>
    <w:p>
      <w:pPr>
        <w:pStyle w:val="ListParagraph"/>
        <w:numPr>
          <w:ilvl w:val="0"/>
          <w:numId w:val="2"/>
        </w:numPr>
        <w:spacing w:after="40" w:before="40"/>
      </w:pPr>
      <w:r>
        <w:rPr>
          <w:rFonts w:ascii="Arial" w:cs="Arial" w:eastAsia="Arial" w:hAnsi="Arial"/>
          <w:sz w:val="22"/>
          <w:szCs w:val="22"/>
        </w:rPr>
        <w:t xml:space="preserve">欠品発生 &gt;&gt; Part 2: シナリオ 2.1（供給逼迫シナリオ）へ進む</w:t>
      </w:r>
    </w:p>
    <w:p>
      <w:pPr>
        <w:pStyle w:val="ListParagraph"/>
        <w:numPr>
          <w:ilvl w:val="0"/>
          <w:numId w:val="2"/>
        </w:numPr>
        <w:spacing w:after="40" w:before="40"/>
      </w:pPr>
      <w:r>
        <w:rPr>
          <w:rFonts w:ascii="Arial" w:cs="Arial" w:eastAsia="Arial" w:hAnsi="Arial"/>
          <w:sz w:val="22"/>
          <w:szCs w:val="22"/>
        </w:rPr>
        <w:t xml:space="preserve">滞留発生 &gt;&gt; Part 2: シナリオ 2.3（収穫バッチ平準化）を検討</w:t>
      </w:r>
    </w:p>
    <w:p>
      <w:pPr>
        <w:pStyle w:val="ListParagraph"/>
        <w:numPr>
          <w:ilvl w:val="0"/>
          <w:numId w:val="2"/>
        </w:numPr>
        <w:spacing w:after="40" w:before="40"/>
      </w:pPr>
      <w:r>
        <w:rPr>
          <w:rFonts w:ascii="Arial" w:cs="Arial" w:eastAsia="Arial" w:hAnsi="Arial"/>
          <w:sz w:val="22"/>
          <w:szCs w:val="22"/>
        </w:rPr>
        <w:t xml:space="preserve">両方なし &gt;&gt; 1.3 Strategic KPI の確認へ進む</w:t>
      </w:r>
    </w:p>
    <w:p>
      <w:pPr>
        <w:spacing w:after="0" w:before="200"/>
      </w:pPr>
      <w:r>
        <w:rPr>
          <w:rFonts w:ascii="Arial" w:cs="Arial" w:eastAsia="Arial" w:hAnsi="Arial"/>
        </w:rPr>
        <w:t xml:space="preserve"/>
      </w:r>
    </w:p>
    <w:p>
      <w:pPr>
        <w:pStyle w:val="Heading2"/>
        <w:shd w:fill="2E75B6" w:val="clear"/>
        <w:spacing w:after="80" w:before="280"/>
        <w:ind w:left="120"/>
      </w:pPr>
      <w:r>
        <w:rPr>
          <w:rFonts w:ascii="Arial" w:cs="Arial" w:eastAsia="Arial" w:hAnsi="Arial"/>
          <w:b/>
          <w:bCs/>
          <w:color w:val="FFFFFF"/>
          <w:sz w:val="28"/>
          <w:szCs w:val="28"/>
        </w:rPr>
        <w:t xml:space="preserve">1.3  Strategic KPI の読み方（Management タブ）</w:t>
      </w:r>
    </w:p>
    <w:p>
      <w:pPr>
        <w:spacing w:after="0" w:before="120"/>
      </w:pPr>
      <w:r>
        <w:rPr>
          <w:rFonts w:ascii="Arial" w:cs="Arial" w:eastAsia="Arial" w:hAnsi="Arial"/>
        </w:rPr>
        <w:t xml:space="preserve"/>
      </w:r>
    </w:p>
    <w:p>
      <w:pPr>
        <w:pStyle w:val="Heading3"/>
        <w:pBdr>
          <w:bottom w:val="single" w:color="2E75B6" w:sz="4"/>
        </w:pBdr>
        <w:spacing w:after="80" w:before="200"/>
      </w:pPr>
      <w:r>
        <w:rPr>
          <w:rFonts w:ascii="Arial" w:cs="Arial" w:eastAsia="Arial" w:hAnsi="Arial"/>
          <w:b/>
          <w:bCs/>
          <w:color w:val="1F3864"/>
          <w:sz w:val="24"/>
          <w:szCs w:val="24"/>
        </w:rPr>
        <w:t xml:space="preserve">Strategic KPI パネルの構成</w:t>
      </w:r>
    </w:p>
    <w:p>
      <w:pPr>
        <w:spacing w:after="60" w:before="60"/>
      </w:pPr>
      <w:r>
        <w:rPr>
          <w:rFonts w:ascii="Arial" w:cs="Arial" w:eastAsia="Arial" w:hAnsi="Arial"/>
          <w:sz w:val="22"/>
          <w:szCs w:val="22"/>
        </w:rPr>
        <w:t xml:space="preserve">Management タブ中段の「Strategic KPI (Planning Engine)」パネルに5指標が表示されます。各指標は目標値に対して </w:t>
      </w:r>
      <w:r>
        <w:rPr>
          <w:rFonts w:ascii="Arial" w:cs="Arial" w:eastAsia="Arial" w:hAnsi="Arial"/>
          <w:b/>
          <w:bCs/>
          <w:sz w:val="22"/>
          <w:szCs w:val="22"/>
        </w:rPr>
        <w:t xml:space="preserve">OK（緑）/ ISSUE（赤）</w:t>
      </w:r>
      <w:r>
        <w:rPr>
          <w:rFonts w:ascii="Arial" w:cs="Arial" w:eastAsia="Arial" w:hAnsi="Arial"/>
          <w:sz w:val="22"/>
          <w:szCs w:val="22"/>
        </w:rPr>
        <w:t xml:space="preserve"> で自動判定されます。</w:t>
      </w:r>
    </w:p>
    <w:p>
      <w:pPr>
        <w:spacing w:after="0" w:before="10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1313"/>
        <w:gridCol w:w="2213"/>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KPI名</w:t>
            </w:r>
          </w:p>
        </w:tc>
        <w:tc>
          <w:tcPr>
            <w:tcW w:type="dxa" w:w="29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算定式</w:t>
            </w:r>
          </w:p>
        </w:tc>
        <w:tc>
          <w:tcPr>
            <w:tcW w:type="dxa" w:w="1313"/>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目標値</w:t>
            </w:r>
          </w:p>
        </w:tc>
        <w:tc>
          <w:tcPr>
            <w:tcW w:type="dxa" w:w="2213"/>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判定基準</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9"/>
                <w:szCs w:val="19"/>
              </w:rPr>
              <w:t xml:space="preserve">固定費吸収率</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9"/>
                <w:szCs w:val="19"/>
              </w:rPr>
              <w:t xml:space="preserve">生産量 / CapHard</w:t>
            </w:r>
          </w:p>
        </w:tc>
        <w:tc>
          <w:tcPr>
            <w:tcW w:type="dxa" w:w="13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9"/>
                <w:szCs w:val="19"/>
              </w:rPr>
              <w:t xml:space="preserve">&gt;=75%</w:t>
            </w:r>
          </w:p>
        </w:tc>
        <w:tc>
          <w:tcPr>
            <w:tcW w:type="dxa" w:w="22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9"/>
                <w:szCs w:val="19"/>
              </w:rPr>
              <w:t xml:space="preserve">75%未満 &gt;&gt; 生産量不足 or 固定費過大</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9"/>
                <w:szCs w:val="19"/>
              </w:rPr>
              <w:t xml:space="preserve">生産平準化指数</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9"/>
                <w:szCs w:val="19"/>
              </w:rPr>
              <w:t xml:space="preserve">1 - 変動係数</w:t>
            </w:r>
          </w:p>
        </w:tc>
        <w:tc>
          <w:tcPr>
            <w:tcW w:type="dxa" w:w="13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9"/>
                <w:szCs w:val="19"/>
              </w:rPr>
              <w:t xml:space="preserve">&gt;=80%</w:t>
            </w:r>
          </w:p>
        </w:tc>
        <w:tc>
          <w:tcPr>
            <w:tcW w:type="dxa" w:w="22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9"/>
                <w:szCs w:val="19"/>
              </w:rPr>
              <w:t xml:space="preserve">80%未満 &gt;&gt; 生産が週次で大きく変動</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9"/>
                <w:szCs w:val="19"/>
              </w:rPr>
              <w:t xml:space="preserve">在庫滞留率</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9"/>
                <w:szCs w:val="19"/>
              </w:rPr>
              <w:t xml:space="preserve">バッファ保有率</w:t>
            </w:r>
          </w:p>
        </w:tc>
        <w:tc>
          <w:tcPr>
            <w:tcW w:type="dxa" w:w="13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9"/>
                <w:szCs w:val="19"/>
              </w:rPr>
              <w:t xml:space="preserve">20-50%</w:t>
            </w:r>
          </w:p>
        </w:tc>
        <w:tc>
          <w:tcPr>
            <w:tcW w:type="dxa" w:w="22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9"/>
                <w:szCs w:val="19"/>
              </w:rPr>
              <w:t xml:space="preserve">範囲外 &gt;&gt; 過小は欠品リスク、過大は資金固定</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9"/>
                <w:szCs w:val="19"/>
              </w:rPr>
              <w:t xml:space="preserve">需要充足率</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9"/>
                <w:szCs w:val="19"/>
              </w:rPr>
              <w:t xml:space="preserve">出荷量 / 需要量</w:t>
            </w:r>
          </w:p>
        </w:tc>
        <w:tc>
          <w:tcPr>
            <w:tcW w:type="dxa" w:w="13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9"/>
                <w:szCs w:val="19"/>
              </w:rPr>
              <w:t xml:space="preserve">&gt;=95%</w:t>
            </w:r>
          </w:p>
        </w:tc>
        <w:tc>
          <w:tcPr>
            <w:tcW w:type="dxa" w:w="22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9"/>
                <w:szCs w:val="19"/>
              </w:rPr>
              <w:t xml:space="preserve">95%未満 &gt;&gt; 供給不足・欠品が発生</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9"/>
                <w:szCs w:val="19"/>
              </w:rPr>
              <w:t xml:space="preserve">設備稼働率</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9"/>
                <w:szCs w:val="19"/>
              </w:rPr>
              <w:t xml:space="preserve">生産量 / CapHard</w:t>
            </w:r>
          </w:p>
        </w:tc>
        <w:tc>
          <w:tcPr>
            <w:tcW w:type="dxa" w:w="13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9"/>
                <w:szCs w:val="19"/>
              </w:rPr>
              <w:t xml:space="preserve">70-90%</w:t>
            </w:r>
          </w:p>
        </w:tc>
        <w:tc>
          <w:tcPr>
            <w:tcW w:type="dxa" w:w="22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9"/>
                <w:szCs w:val="19"/>
              </w:rPr>
              <w:t xml:space="preserve">70%未満は遊休、90%超は能力不足リスク</w:t>
            </w:r>
          </w:p>
        </w:tc>
      </w:tr>
    </w:tbl>
    <w:p>
      <w:pPr>
        <w:spacing w:after="0" w:before="120"/>
      </w:pPr>
      <w:r>
        <w:rPr>
          <w:rFonts w:ascii="Arial" w:cs="Arial" w:eastAsia="Arial" w:hAnsi="Arial"/>
        </w:rPr>
        <w:t xml:space="preserve"/>
      </w:r>
    </w:p>
    <w:p>
      <w:pPr>
        <w:pStyle w:val="Heading3"/>
        <w:pBdr>
          <w:bottom w:val="single" w:color="2E75B6" w:sz="4"/>
        </w:pBdr>
        <w:spacing w:after="80" w:before="200"/>
      </w:pPr>
      <w:r>
        <w:rPr>
          <w:rFonts w:ascii="Arial" w:cs="Arial" w:eastAsia="Arial" w:hAnsi="Arial"/>
          <w:b/>
          <w:bCs/>
          <w:color w:val="1F3864"/>
          <w:sz w:val="24"/>
          <w:szCs w:val="24"/>
        </w:rPr>
        <w:t xml:space="preserve">Japanese Rice Case の実績値（2027年）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固定費吸収率 56.6%  ISSUE</w:t>
            </w:r>
          </w:p>
        </w:tc>
        <w:tc>
          <w:tcPr>
            <w:tcW w:type="dxa" w:w="5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収穫バッチ集中のため非収穫期の生産量が少なく固定費を吸収しきれていない。平準化投資を検討。</w:t>
            </w:r>
          </w:p>
        </w:tc>
      </w:tr>
      <w:tr>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生産平準化指数 0.0%  ISSUE</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収穫バッチプラグインにより生産が特定週に集中。平準化シナリオ（2.3）で改善余地を確認。</w:t>
            </w:r>
          </w:p>
        </w:tc>
      </w:tr>
      <w:tr>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在庫滞留率 9.9%  ISSUE</w:t>
            </w:r>
          </w:p>
        </w:tc>
        <w:tc>
          <w:tcPr>
            <w:tcW w:type="dxa" w:w="5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収穫直後に大量在庫が積み上がるが翌年収穫まで急速に減少。年平均では目標範囲を下回る。</w:t>
            </w:r>
          </w:p>
        </w:tc>
      </w:tr>
      <w:tr>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需要充足率 100.0%  OK</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全週・全地域で需要を充足。供給能力に余裕あり。</w:t>
            </w:r>
          </w:p>
        </w:tc>
      </w:tr>
      <w:tr>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設備稼働率 42.6%  ISSUE</w:t>
            </w:r>
          </w:p>
        </w:tc>
        <w:tc>
          <w:tcPr>
            <w:tcW w:type="dxa" w:w="5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収穫バッチ時のみフル稼働。通年では低稼働。複数品種や設備転用を検討。</w:t>
            </w:r>
          </w:p>
        </w:tc>
      </w:tr>
    </w:tbl>
    <w:p>
      <w:pPr>
        <w:spacing w:after="0" w:before="120"/>
      </w:pPr>
      <w:r>
        <w:rPr>
          <w:rFonts w:ascii="Arial" w:cs="Arial" w:eastAsia="Arial" w:hAnsi="Arial"/>
        </w:rPr>
        <w:t xml:space="preserve"/>
      </w:r>
    </w:p>
    <w:p>
      <w:pPr>
        <w:pStyle w:val="Heading3"/>
        <w:pBdr>
          <w:bottom w:val="single" w:color="2E75B6" w:sz="4"/>
        </w:pBdr>
        <w:spacing w:after="80" w:before="200"/>
      </w:pPr>
      <w:r>
        <w:rPr>
          <w:rFonts w:ascii="Arial" w:cs="Arial" w:eastAsia="Arial" w:hAnsi="Arial"/>
          <w:b/>
          <w:bCs/>
          <w:color w:val="1F3864"/>
          <w:sz w:val="24"/>
          <w:szCs w:val="24"/>
        </w:rPr>
        <w:t xml:space="preserve">P&amp;L サマリーの読み方</w:t>
      </w:r>
    </w:p>
    <w:p>
      <w:pPr>
        <w:spacing w:after="60" w:before="60"/>
      </w:pPr>
      <w:r>
        <w:rPr>
          <w:rFonts w:ascii="Arial" w:cs="Arial" w:eastAsia="Arial" w:hAnsi="Arial"/>
          <w:sz w:val="22"/>
          <w:szCs w:val="22"/>
        </w:rPr>
        <w:t xml:space="preserve">Strategic KPI パネルの上段「P&amp;L Summary」で財務全体を確認します。</w:t>
      </w:r>
    </w:p>
    <w:p>
      <w:pPr>
        <w:spacing w:after="0" w:before="8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Revenue（売上高）</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715,146,600,000 円 ~ 7,151億円（Planning シナリオ）</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COGS（売上原価）</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401,400,300,000 円 ~ 4,014億円</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Gross Profit（粗利）</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313,746,300,000 円 ~ 3,137億円</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Gross Margin（粗利率）</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43.9%</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CCC（Cash-to-Cash）</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-15.0 週（マイナスは有利。売掛回収が買掛支払いより早い）</w:t>
            </w:r>
          </w:p>
        </w:tc>
      </w:tr>
    </w:tbl>
    <w:p>
      <w:pPr>
        <w:spacing w:after="0" w:before="200"/>
      </w:pPr>
      <w:r>
        <w:rPr>
          <w:rFonts w:ascii="Arial" w:cs="Arial" w:eastAsia="Arial" w:hAnsi="Arial"/>
        </w:rPr>
        <w:t xml:space="preserve"/>
      </w:r>
    </w:p>
    <w:p>
      <w:pPr>
        <w:pStyle w:val="Heading2"/>
        <w:shd w:fill="2E75B6" w:val="clear"/>
        <w:spacing w:after="80" w:before="280"/>
        <w:ind w:left="120"/>
      </w:pPr>
      <w:r>
        <w:rPr>
          <w:rFonts w:ascii="Arial" w:cs="Arial" w:eastAsia="Arial" w:hAnsi="Arial"/>
          <w:b/>
          <w:bCs/>
          <w:color w:val="FFFFFF"/>
          <w:sz w:val="28"/>
          <w:szCs w:val="28"/>
        </w:rPr>
        <w:t xml:space="preserve">1.4  利益構造の確認（PPC タブ）</w:t>
      </w:r>
    </w:p>
    <w:p>
      <w:pPr>
        <w:spacing w:after="0" w:before="120"/>
      </w:pPr>
      <w:r>
        <w:rPr>
          <w:rFonts w:ascii="Arial" w:cs="Arial" w:eastAsia="Arial" w:hAnsi="Arial"/>
        </w:rPr>
        <w:t xml:space="preserve"/>
      </w:r>
    </w:p>
    <w:p>
      <w:pPr>
        <w:pStyle w:val="Heading3"/>
        <w:pBdr>
          <w:bottom w:val="single" w:color="2E75B6" w:sz="4"/>
        </w:pBdr>
        <w:spacing w:after="80" w:before="200"/>
      </w:pPr>
      <w:r>
        <w:rPr>
          <w:rFonts w:ascii="Arial" w:cs="Arial" w:eastAsia="Arial" w:hAnsi="Arial"/>
          <w:b/>
          <w:bCs/>
          <w:color w:val="1F3864"/>
          <w:sz w:val="24"/>
          <w:szCs w:val="24"/>
        </w:rPr>
        <w:t xml:space="preserve">PPC タブの概要</w:t>
      </w:r>
    </w:p>
    <w:p>
      <w:pPr>
        <w:spacing w:after="60" w:before="60"/>
      </w:pPr>
      <w:r>
        <w:rPr>
          <w:rFonts w:ascii="Arial" w:cs="Arial" w:eastAsia="Arial" w:hAnsi="Arial"/>
          <w:sz w:val="22"/>
          <w:szCs w:val="22"/>
        </w:rPr>
        <w:t xml:space="preserve">PPC（Profit / Price / Cost）タブは、SCネットワークの各ノード・エッジを通過するロットごとに利益を計算し、「どのSKU・どのチャネルで儲かっているか」を可視化します。Planning Engine 実行後に自動連携されます。</w:t>
      </w:r>
    </w:p>
    <w:p>
      <w:pPr>
        <w:spacing w:after="0" w:before="80"/>
      </w:pPr>
      <w:r>
        <w:rPr>
          <w:rFonts w:ascii="Arial" w:cs="Arial" w:eastAsia="Arial" w:hAnsi="Arial"/>
        </w:rPr>
        <w:t xml:space="preserve"/>
      </w:r>
    </w:p>
    <w:p>
      <w:pPr>
        <w:pStyle w:val="Heading3"/>
        <w:pBdr>
          <w:bottom w:val="single" w:color="2E75B6" w:sz="4"/>
        </w:pBdr>
        <w:spacing w:after="80" w:before="200"/>
      </w:pPr>
      <w:r>
        <w:rPr>
          <w:rFonts w:ascii="Arial" w:cs="Arial" w:eastAsia="Arial" w:hAnsi="Arial"/>
          <w:b/>
          <w:bCs/>
          <w:color w:val="1F3864"/>
          <w:sz w:val="24"/>
          <w:szCs w:val="24"/>
        </w:rPr>
        <w:t xml:space="preserve">フィルターの使い方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SKU</w:t>
            </w:r>
          </w:p>
        </w:tc>
        <w:tc>
          <w:tcPr>
            <w:tcW w:type="dxa" w:w="6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Koshihikari / Yumepirika を選択。ALLで全SKU集計。</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Channel</w:t>
            </w:r>
          </w:p>
        </w:tc>
        <w:tc>
          <w:tcPr>
            <w:tcW w:type="dxa" w:w="6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JP_Channel（国内小売）/ ALL。</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Start/End Week</w:t>
            </w:r>
          </w:p>
        </w:tc>
        <w:tc>
          <w:tcPr>
            <w:tcW w:type="dxa" w:w="6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分析したい期間を選択。収穫直後（W40-W52）と非収穫期（W01-W39）で比較。</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Aggregation</w:t>
            </w:r>
          </w:p>
        </w:tc>
        <w:tc>
          <w:tcPr>
            <w:tcW w:type="dxa" w:w="6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Weekly / Monthly / Quarterly。経営報告には Monthly / Quarterly が見やすい。</w:t>
            </w:r>
          </w:p>
        </w:tc>
      </w:tr>
    </w:tbl>
    <w:p>
      <w:pPr>
        <w:spacing w:after="0" w:before="120"/>
      </w:pPr>
      <w:r>
        <w:rPr>
          <w:rFonts w:ascii="Arial" w:cs="Arial" w:eastAsia="Arial" w:hAnsi="Arial"/>
        </w:rPr>
        <w:t xml:space="preserve"/>
      </w:r>
    </w:p>
    <w:p>
      <w:pPr>
        <w:pStyle w:val="Heading3"/>
        <w:pBdr>
          <w:bottom w:val="single" w:color="2E75B6" w:sz="4"/>
        </w:pBdr>
        <w:spacing w:after="80" w:before="200"/>
      </w:pPr>
      <w:r>
        <w:rPr>
          <w:rFonts w:ascii="Arial" w:cs="Arial" w:eastAsia="Arial" w:hAnsi="Arial"/>
          <w:b/>
          <w:bCs/>
          <w:color w:val="1F3864"/>
          <w:sz w:val="24"/>
          <w:szCs w:val="24"/>
        </w:rPr>
        <w:t xml:space="preserve">主要グラフの読み方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Profit Zone Breakdown</w:t>
            </w:r>
          </w:p>
        </w:tc>
        <w:tc>
          <w:tcPr>
            <w:tcW w:type="dxa" w:w="5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Supplier（仕入）/ MOM Plant（精米）/ DAD/Op（物流・DC）/ Channel（販売費）の積み上げと Revenue を棒グラフで比較。</w:t>
            </w:r>
          </w:p>
        </w:tc>
      </w:tr>
      <w:tr>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Revenue Trend</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週次・月次・四半期の収益推移。季節性が明確に表れる。</w:t>
            </w:r>
          </w:p>
        </w:tc>
      </w:tr>
      <w:tr>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Total Cost &amp; Tariff</w:t>
            </w:r>
          </w:p>
        </w:tc>
        <w:tc>
          <w:tcPr>
            <w:tcW w:type="dxa" w:w="5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ノードコスト + 関税コストの月次推移。</w:t>
            </w:r>
          </w:p>
        </w:tc>
      </w:tr>
      <w:tr>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Lot Gross Margin by Channel</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箱ひげ図。JP_Channel の Gross Margin の分布（中央値・ばらつき）を表示。</w:t>
            </w:r>
          </w:p>
        </w:tc>
      </w:tr>
      <w:tr>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Forward vs Backward vs Revenue</w:t>
            </w:r>
          </w:p>
        </w:tc>
        <w:tc>
          <w:tcPr>
            <w:tcW w:type="dxa" w:w="5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仕入コスト積み上げ（Forward）と市場価格バックキャスト（Backward）の差が Trust 領域。</w:t>
            </w:r>
          </w:p>
        </w:tc>
      </w:tr>
    </w:tbl>
    <w:p>
      <w:pPr>
        <w:spacing w:after="0" w:before="120"/>
      </w:pPr>
      <w:r>
        <w:rPr>
          <w:rFonts w:ascii="Arial" w:cs="Arial" w:eastAsia="Arial" w:hAnsi="Arial"/>
        </w:rPr>
        <w:t xml:space="preserve"/>
      </w:r>
    </w:p>
    <w:p>
      <w:pPr>
        <w:pStyle w:val="Heading3"/>
        <w:pBdr>
          <w:bottom w:val="single" w:color="2E75B6" w:sz="4"/>
        </w:pBdr>
        <w:spacing w:after="80" w:before="200"/>
      </w:pPr>
      <w:r>
        <w:rPr>
          <w:rFonts w:ascii="Arial" w:cs="Arial" w:eastAsia="Arial" w:hAnsi="Arial"/>
          <w:b/>
          <w:bCs/>
          <w:color w:val="1F3864"/>
          <w:sz w:val="24"/>
          <w:szCs w:val="24"/>
        </w:rPr>
        <w:t xml:space="preserve">CFO の注目ポイント</w:t>
      </w:r>
    </w:p>
    <w:p>
      <w:pPr>
        <w:pStyle w:val="ListParagraph"/>
        <w:numPr>
          <w:ilvl w:val="0"/>
          <w:numId w:val="2"/>
        </w:numPr>
        <w:spacing w:after="40" w:before="40"/>
      </w:pPr>
      <w:r>
        <w:rPr>
          <w:rFonts w:ascii="Arial" w:cs="Arial" w:eastAsia="Arial" w:hAnsi="Arial"/>
          <w:sz w:val="22"/>
          <w:szCs w:val="22"/>
        </w:rPr>
        <w:t xml:space="preserve">Gross Margin 38%台：米の流通構造上は許容範囲か、改善余地はあるか</w:t>
      </w:r>
    </w:p>
    <w:p>
      <w:pPr>
        <w:pStyle w:val="ListParagraph"/>
        <w:numPr>
          <w:ilvl w:val="0"/>
          <w:numId w:val="2"/>
        </w:numPr>
        <w:spacing w:after="40" w:before="40"/>
      </w:pPr>
      <w:r>
        <w:rPr>
          <w:rFonts w:ascii="Arial" w:cs="Arial" w:eastAsia="Arial" w:hAnsi="Arial"/>
          <w:sz w:val="22"/>
          <w:szCs w:val="22"/>
        </w:rPr>
        <w:t xml:space="preserve">Trust events = 0：仕入コストと市場価格の整合性が取れている</w:t>
      </w:r>
    </w:p>
    <w:p>
      <w:pPr>
        <w:pStyle w:val="ListParagraph"/>
        <w:numPr>
          <w:ilvl w:val="0"/>
          <w:numId w:val="2"/>
        </w:numPr>
        <w:spacing w:after="40" w:before="40"/>
      </w:pPr>
      <w:r>
        <w:rPr>
          <w:rFonts w:ascii="Arial" w:cs="Arial" w:eastAsia="Arial" w:hAnsi="Arial"/>
          <w:sz w:val="22"/>
          <w:szCs w:val="22"/>
        </w:rPr>
        <w:t xml:space="preserve">Tariff Cost = 0 JPY：国内完結SCであり関税リスクゼロ</w:t>
      </w:r>
    </w:p>
    <w:p>
      <w:pPr>
        <w:pStyle w:val="ListParagraph"/>
        <w:numPr>
          <w:ilvl w:val="0"/>
          <w:numId w:val="2"/>
        </w:numPr>
        <w:spacing w:after="40" w:before="40"/>
      </w:pPr>
      <w:r>
        <w:rPr>
          <w:rFonts w:ascii="Arial" w:cs="Arial" w:eastAsia="Arial" w:hAnsi="Arial"/>
          <w:sz w:val="22"/>
          <w:szCs w:val="22"/>
        </w:rPr>
        <w:t xml:space="preserve">季節ピーク時（W40-W52）に Revenue が集中 &gt;&gt; 資金繰り・在庫金融への影響</w:t>
      </w:r>
    </w:p>
    <w:p>
      <w:r>
        <w:br w:type="page"/>
      </w:r>
    </w:p>
    <w:p>
      <w:pPr>
        <w:pStyle w:val="Heading1"/>
        <w:shd w:fill="1F3864" w:val="clear"/>
        <w:spacing w:after="120" w:before="360"/>
        <w:ind w:left="120"/>
      </w:pPr>
      <w:r>
        <w:rPr>
          <w:rFonts w:ascii="Arial" w:cs="Arial" w:eastAsia="Arial" w:hAnsi="Arial"/>
          <w:b/>
          <w:bCs/>
          <w:color w:val="FFFFFF"/>
          <w:sz w:val="36"/>
          <w:szCs w:val="36"/>
        </w:rPr>
        <w:t xml:space="preserve">Part 2: シナリオ定義と実行</w:t>
      </w:r>
    </w:p>
    <w:p>
      <w:pPr>
        <w:spacing w:after="0" w:before="120"/>
      </w:pPr>
      <w:r>
        <w:rPr>
          <w:rFonts w:ascii="Arial" w:cs="Arial" w:eastAsia="Arial" w:hAnsi="Arial"/>
        </w:rPr>
        <w:t xml:space="preserve"/>
      </w:r>
    </w:p>
    <w:p>
      <w:pPr>
        <w:spacing w:after="60" w:before="60"/>
      </w:pPr>
      <w:r>
        <w:rPr>
          <w:rFonts w:ascii="Arial" w:cs="Arial" w:eastAsia="Arial" w:hAnsi="Arial"/>
          <w:sz w:val="22"/>
          <w:szCs w:val="22"/>
        </w:rPr>
        <w:t xml:space="preserve">WOM では「マスターパラメータを変更 &gt;&gt; Run Planning Engine &gt;&gt; 結果を比較」のサイクルでシナリオ分析を行います。</w:t>
      </w:r>
    </w:p>
    <w:p>
      <w:pPr>
        <w:spacing w:after="0" w:before="160"/>
      </w:pPr>
      <w:r>
        <w:rPr>
          <w:rFonts w:ascii="Arial" w:cs="Arial" w:eastAsia="Arial" w:hAnsi="Arial"/>
        </w:rPr>
        <w:t xml:space="preserve"/>
      </w:r>
    </w:p>
    <w:p>
      <w:pPr>
        <w:pStyle w:val="Heading2"/>
        <w:shd w:fill="2E75B6" w:val="clear"/>
        <w:spacing w:after="80" w:before="280"/>
        <w:ind w:left="120"/>
      </w:pPr>
      <w:r>
        <w:rPr>
          <w:rFonts w:ascii="Arial" w:cs="Arial" w:eastAsia="Arial" w:hAnsi="Arial"/>
          <w:b/>
          <w:bCs/>
          <w:color w:val="FFFFFF"/>
          <w:sz w:val="28"/>
          <w:szCs w:val="28"/>
        </w:rPr>
        <w:t xml:space="preserve">2.1  供給逼迫シナリオ（Upside: 需要×1.2）</w:t>
      </w:r>
    </w:p>
    <w:p>
      <w:pPr>
        <w:spacing w:after="0" w:before="120"/>
      </w:pPr>
      <w:r>
        <w:rPr>
          <w:rFonts w:ascii="Arial" w:cs="Arial" w:eastAsia="Arial" w:hAnsi="Arial"/>
        </w:rPr>
        <w:t xml:space="preserve"/>
      </w:r>
    </w:p>
    <w:p>
      <w:pPr>
        <w:pStyle w:val="Heading3"/>
        <w:pBdr>
          <w:bottom w:val="single" w:color="2E75B6" w:sz="4"/>
        </w:pBdr>
        <w:spacing w:after="80" w:before="200"/>
      </w:pPr>
      <w:r>
        <w:rPr>
          <w:rFonts w:ascii="Arial" w:cs="Arial" w:eastAsia="Arial" w:hAnsi="Arial"/>
          <w:b/>
          <w:bCs/>
          <w:color w:val="1F3864"/>
          <w:sz w:val="24"/>
          <w:szCs w:val="24"/>
        </w:rPr>
        <w:t xml:space="preserve">ビジネス背景</w:t>
      </w:r>
    </w:p>
    <w:p>
      <w:pPr>
        <w:spacing w:after="60" w:before="60"/>
      </w:pPr>
      <w:r>
        <w:rPr>
          <w:rFonts w:ascii="Arial" w:cs="Arial" w:eastAsia="Arial" w:hAnsi="Arial"/>
          <w:sz w:val="22"/>
          <w:szCs w:val="22"/>
        </w:rPr>
        <w:t xml:space="preserve">新規チャネル開拓や市場拡大局面で、需要が計画比20%増になった場合に既存SC能力で対応できるかを検証します。</w:t>
      </w:r>
    </w:p>
    <w:p>
      <w:pPr>
        <w:spacing w:after="0" w:before="80"/>
      </w:pPr>
      <w:r>
        <w:rPr>
          <w:rFonts w:ascii="Arial" w:cs="Arial" w:eastAsia="Arial" w:hAnsi="Arial"/>
        </w:rPr>
        <w:t xml:space="preserve"/>
      </w:r>
    </w:p>
    <w:p>
      <w:pPr>
        <w:pStyle w:val="Heading3"/>
        <w:pBdr>
          <w:bottom w:val="single" w:color="2E75B6" w:sz="4"/>
        </w:pBdr>
        <w:spacing w:after="80" w:before="200"/>
      </w:pPr>
      <w:r>
        <w:rPr>
          <w:rFonts w:ascii="Arial" w:cs="Arial" w:eastAsia="Arial" w:hAnsi="Arial"/>
          <w:b/>
          <w:bCs/>
          <w:color w:val="1F3864"/>
          <w:sz w:val="24"/>
          <w:szCs w:val="24"/>
        </w:rPr>
        <w:t xml:space="preserve">WOM 操作手順</w:t>
      </w:r>
    </w:p>
    <w:p>
      <w:pPr>
        <w:pStyle w:val="ListParagraph"/>
        <w:numPr>
          <w:ilvl w:val="0"/>
          <w:numId w:val="3"/>
        </w:numPr>
        <w:spacing w:after="40" w:before="40"/>
      </w:pPr>
      <w:r>
        <w:rPr>
          <w:rFonts w:ascii="Arial" w:cs="Arial" w:eastAsia="Arial" w:hAnsi="Arial"/>
          <w:sz w:val="22"/>
          <w:szCs w:val="22"/>
        </w:rPr>
        <w:t xml:space="preserve">左パネル「Scenarios」の Upside 行の「Dem×」を確認（デフォルト: 1.20）</w:t>
      </w:r>
    </w:p>
    <w:p>
      <w:pPr>
        <w:pStyle w:val="ListParagraph"/>
        <w:numPr>
          <w:ilvl w:val="0"/>
          <w:numId w:val="3"/>
        </w:numPr>
        <w:spacing w:after="40" w:before="40"/>
      </w:pPr>
      <w:r>
        <w:rPr>
          <w:rFonts w:ascii="Arial" w:cs="Arial" w:eastAsia="Arial" w:hAnsi="Arial"/>
          <w:sz w:val="22"/>
          <w:szCs w:val="22"/>
        </w:rPr>
        <w:t xml:space="preserve">「Run Planning Engine」ボタンをクリック</w:t>
      </w:r>
    </w:p>
    <w:p>
      <w:pPr>
        <w:pStyle w:val="ListParagraph"/>
        <w:numPr>
          <w:ilvl w:val="0"/>
          <w:numId w:val="3"/>
        </w:numPr>
        <w:spacing w:after="40" w:before="40"/>
      </w:pPr>
      <w:r>
        <w:rPr>
          <w:rFonts w:ascii="Arial" w:cs="Arial" w:eastAsia="Arial" w:hAnsi="Arial"/>
          <w:sz w:val="22"/>
          <w:szCs w:val="22"/>
        </w:rPr>
        <w:t xml:space="preserve">Management タブ &gt;&gt; P&amp;L Summary で Planning / Upside の行を比較</w:t>
      </w:r>
    </w:p>
    <w:p>
      <w:pPr>
        <w:pStyle w:val="ListParagraph"/>
        <w:numPr>
          <w:ilvl w:val="0"/>
          <w:numId w:val="3"/>
        </w:numPr>
        <w:spacing w:after="40" w:before="40"/>
      </w:pPr>
      <w:r>
        <w:rPr>
          <w:rFonts w:ascii="Arial" w:cs="Arial" w:eastAsia="Arial" w:hAnsi="Arial"/>
          <w:sz w:val="22"/>
          <w:szCs w:val="22"/>
        </w:rPr>
        <w:t xml:space="preserve">At-Risk SKUs タブで新規に追加された欠品SKU・地域を確認</w:t>
      </w:r>
    </w:p>
    <w:p>
      <w:pPr>
        <w:pStyle w:val="ListParagraph"/>
        <w:numPr>
          <w:ilvl w:val="0"/>
          <w:numId w:val="3"/>
        </w:numPr>
        <w:spacing w:after="40" w:before="40"/>
      </w:pPr>
      <w:r>
        <w:rPr>
          <w:rFonts w:ascii="Arial" w:cs="Arial" w:eastAsia="Arial" w:hAnsi="Arial"/>
          <w:sz w:val="22"/>
          <w:szCs w:val="22"/>
        </w:rPr>
        <w:t xml:space="preserve">Network タブでボトルネックノードのPSIチャートを確認</w:t>
      </w:r>
    </w:p>
    <w:p>
      <w:pPr>
        <w:spacing w:after="0" w:before="8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C55A11" w:val="clear"/>
            <w:tcMar>
              <w:top w:type="dxa" w:w="80"/>
              <w:left w:type="dxa" w:w="160"/>
              <w:bottom w:type="dxa" w:w="80"/>
              <w:right w:type="dxa" w:w="160"/>
            </w:tcMar>
          </w:tcPr>
          <w:p>
            <w:r>
              <w:rPr>
                <w:rFonts w:ascii="Arial" w:cs="Arial" w:eastAsia="Arial" w:hAnsi="Arial"/>
                <w:b/>
                <w:bCs/>
                <w:color w:val="FFFFFF"/>
                <w:sz w:val="22"/>
                <w:szCs w:val="22"/>
              </w:rPr>
              <w:t xml:space="preserve">判断ロジック：需要増加シナリオの分岐</w:t>
            </w:r>
          </w:p>
        </w:tc>
      </w:tr>
      <w:tr>
        <w:tc>
          <w:tcPr>
            <w:tcW w:type="dxa" w:w="9026"/>
            <w:tcBorders>
              <w:top w:val="single" w:color="CCCCCC" w:sz="1"/>
              <w:left w:val="single" w:color="CCCCCC" w:sz="1"/>
              <w:bottom w:val="single" w:color="CCCCCC" w:sz="1"/>
              <w:right w:val="single" w:color="CCCCCC" w:sz="1"/>
            </w:tcBorders>
            <w:shd w:fill="FCE4D6" w:val="clear"/>
            <w:tcMar>
              <w:top w:type="dxa" w:w="60"/>
              <w:left w:type="dxa" w:w="200"/>
              <w:bottom w:type="dxa" w:w="60"/>
              <w:right w:type="dxa" w:w="160"/>
            </w:tcMar>
          </w:tcPr>
          <w:p>
            <w:r>
              <w:rPr>
                <w:rFonts w:ascii="Arial" w:cs="Arial" w:eastAsia="Arial" w:hAnsi="Arial"/>
                <w:sz w:val="21"/>
                <w:szCs w:val="21"/>
              </w:rPr>
              <w:t xml:space="preserve">【需要充足率 &gt;= 95% を維持できる場合】&gt;&gt; 現状SC能力で対応可能。PPC タブで Margin 改善余地を確認。</w:t>
            </w:r>
          </w:p>
        </w:tc>
      </w:tr>
      <w:tr>
        <w:tc>
          <w:tcPr>
            <w:tcW w:type="dxa" w:w="9026"/>
            <w:tcBorders>
              <w:top w:val="single" w:color="CCCCCC" w:sz="1"/>
              <w:left w:val="single" w:color="CCCCCC" w:sz="1"/>
              <w:bottom w:val="single" w:color="CCCCCC" w:sz="1"/>
              <w:right w:val="single" w:color="CCCCCC" w:sz="1"/>
            </w:tcBorders>
            <w:shd w:fill="FCE4D6" w:val="clear"/>
            <w:tcMar>
              <w:top w:type="dxa" w:w="60"/>
              <w:left w:type="dxa" w:w="200"/>
              <w:bottom w:type="dxa" w:w="60"/>
              <w:right w:type="dxa" w:w="160"/>
            </w:tcMar>
          </w:tcPr>
          <w:p>
            <w:r>
              <w:rPr>
                <w:rFonts w:ascii="Arial" w:cs="Arial" w:eastAsia="Arial" w:hAnsi="Arial"/>
                <w:sz w:val="21"/>
                <w:szCs w:val="21"/>
              </w:rPr>
              <w:t xml:space="preserve">【需要充足率 &lt; 95% に悪化する場合】&gt;&gt; ボトルネックノードを特定（Network タブ）&gt;&gt; capacity_plan.csv の増強検討。</w:t>
            </w:r>
          </w:p>
        </w:tc>
      </w:tr>
      <w:tr>
        <w:tc>
          <w:tcPr>
            <w:tcW w:type="dxa" w:w="9026"/>
            <w:tcBorders>
              <w:top w:val="single" w:color="CCCCCC" w:sz="1"/>
              <w:left w:val="single" w:color="CCCCCC" w:sz="1"/>
              <w:bottom w:val="single" w:color="CCCCCC" w:sz="1"/>
              <w:right w:val="single" w:color="CCCCCC" w:sz="1"/>
            </w:tcBorders>
            <w:shd w:fill="FCE4D6" w:val="clear"/>
            <w:tcMar>
              <w:top w:type="dxa" w:w="60"/>
              <w:left w:type="dxa" w:w="200"/>
              <w:bottom w:type="dxa" w:w="60"/>
              <w:right w:type="dxa" w:w="160"/>
            </w:tcMar>
          </w:tcPr>
          <w:p>
            <w:r>
              <w:rPr>
                <w:rFonts w:ascii="Arial" w:cs="Arial" w:eastAsia="Arial" w:hAnsi="Arial"/>
                <w:sz w:val="21"/>
                <w:szCs w:val="21"/>
              </w:rPr>
              <w:t xml:space="preserve">【特定チャネルのみ逼迫する場合】&gt;&gt; PPC Gross Margin を基準に優先供給チャネルを選別し配分ポリシーを策定。</w:t>
            </w:r>
          </w:p>
        </w:tc>
      </w:tr>
    </w:tbl>
    <w:p>
      <w:pPr>
        <w:spacing w:after="0" w:before="120"/>
      </w:pPr>
      <w:r>
        <w:rPr>
          <w:rFonts w:ascii="Arial" w:cs="Arial" w:eastAsia="Arial" w:hAnsi="Arial"/>
        </w:rPr>
        <w:t xml:space="preserve"/>
      </w:r>
    </w:p>
    <w:p>
      <w:pPr>
        <w:pStyle w:val="Heading3"/>
        <w:pBdr>
          <w:bottom w:val="single" w:color="2E75B6" w:sz="4"/>
        </w:pBdr>
        <w:spacing w:after="80" w:before="200"/>
      </w:pPr>
      <w:r>
        <w:rPr>
          <w:rFonts w:ascii="Arial" w:cs="Arial" w:eastAsia="Arial" w:hAnsi="Arial"/>
          <w:b/>
          <w:bCs/>
          <w:color w:val="1F3864"/>
          <w:sz w:val="24"/>
          <w:szCs w:val="24"/>
        </w:rPr>
        <w:t xml:space="preserve">capacity_plan.csv による能力増強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ファイル</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data/rice-japan-2027-2028/capacity_plan.csv</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列</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node_id, sku_id, week, hard_cap, soft_cap</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変更箇所</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対象ノード・週の hard_cap を増加（例: 10000 &gt;&gt; 12000）</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再実行</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ファイル保存後、「Run Planning Engine」を再クリック</w:t>
            </w:r>
          </w:p>
        </w:tc>
      </w:tr>
    </w:tbl>
    <w:p>
      <w:pPr>
        <w:spacing w:after="0" w:before="200"/>
      </w:pPr>
      <w:r>
        <w:rPr>
          <w:rFonts w:ascii="Arial" w:cs="Arial" w:eastAsia="Arial" w:hAnsi="Arial"/>
        </w:rPr>
        <w:t xml:space="preserve"/>
      </w:r>
    </w:p>
    <w:p>
      <w:pPr>
        <w:pStyle w:val="Heading2"/>
        <w:shd w:fill="2E75B6" w:val="clear"/>
        <w:spacing w:after="80" w:before="280"/>
        <w:ind w:left="120"/>
      </w:pPr>
      <w:r>
        <w:rPr>
          <w:rFonts w:ascii="Arial" w:cs="Arial" w:eastAsia="Arial" w:hAnsi="Arial"/>
          <w:b/>
          <w:bCs/>
          <w:color w:val="FFFFFF"/>
          <w:sz w:val="28"/>
          <w:szCs w:val="28"/>
        </w:rPr>
        <w:t xml:space="preserve">2.2  フレート高騰シナリオ（Landed Cost Impact）</w:t>
      </w:r>
    </w:p>
    <w:p>
      <w:pPr>
        <w:spacing w:after="0" w:before="120"/>
      </w:pPr>
      <w:r>
        <w:rPr>
          <w:rFonts w:ascii="Arial" w:cs="Arial" w:eastAsia="Arial" w:hAnsi="Arial"/>
        </w:rPr>
        <w:t xml:space="preserve"/>
      </w:r>
    </w:p>
    <w:p>
      <w:pPr>
        <w:pStyle w:val="Heading3"/>
        <w:pBdr>
          <w:bottom w:val="single" w:color="2E75B6" w:sz="4"/>
        </w:pBdr>
        <w:spacing w:after="80" w:before="200"/>
      </w:pPr>
      <w:r>
        <w:rPr>
          <w:rFonts w:ascii="Arial" w:cs="Arial" w:eastAsia="Arial" w:hAnsi="Arial"/>
          <w:b/>
          <w:bCs/>
          <w:color w:val="1F3864"/>
          <w:sz w:val="24"/>
          <w:szCs w:val="24"/>
        </w:rPr>
        <w:t xml:space="preserve">ビジネス背景</w:t>
      </w:r>
    </w:p>
    <w:p>
      <w:pPr>
        <w:spacing w:after="60" w:before="60"/>
      </w:pPr>
      <w:r>
        <w:rPr>
          <w:rFonts w:ascii="Arial" w:cs="Arial" w:eastAsia="Arial" w:hAnsi="Arial"/>
          <w:sz w:val="22"/>
          <w:szCs w:val="22"/>
        </w:rPr>
        <w:t xml:space="preserve">海上運賃高騰（FreightUp）やドライバー不足（DriverShortage）などの物流コスト増加が Gross Margin に与える影響を定量評価します。グローバルSCを持つ企業では必須分析です。</w:t>
      </w:r>
    </w:p>
    <w:p>
      <w:pPr>
        <w:spacing w:after="0" w:before="80"/>
      </w:pPr>
      <w:r>
        <w:rPr>
          <w:rFonts w:ascii="Arial" w:cs="Arial" w:eastAsia="Arial" w:hAnsi="Arial"/>
        </w:rPr>
        <w:t xml:space="preserve"/>
      </w:r>
    </w:p>
    <w:p>
      <w:pPr>
        <w:pStyle w:val="Heading3"/>
        <w:pBdr>
          <w:bottom w:val="single" w:color="2E75B6" w:sz="4"/>
        </w:pBdr>
        <w:spacing w:after="80" w:before="200"/>
      </w:pPr>
      <w:r>
        <w:rPr>
          <w:rFonts w:ascii="Arial" w:cs="Arial" w:eastAsia="Arial" w:hAnsi="Arial"/>
          <w:b/>
          <w:bCs/>
          <w:color w:val="1F3864"/>
          <w:sz w:val="24"/>
          <w:szCs w:val="24"/>
        </w:rPr>
        <w:t xml:space="preserve">WOM 操作手順</w:t>
      </w:r>
    </w:p>
    <w:p>
      <w:pPr>
        <w:pStyle w:val="ListParagraph"/>
        <w:numPr>
          <w:ilvl w:val="0"/>
          <w:numId w:val="3"/>
        </w:numPr>
        <w:spacing w:after="40" w:before="40"/>
      </w:pPr>
      <w:r>
        <w:rPr>
          <w:rFonts w:ascii="Arial" w:cs="Arial" w:eastAsia="Arial" w:hAnsi="Arial"/>
          <w:sz w:val="22"/>
          <w:szCs w:val="22"/>
        </w:rPr>
        <w:t xml:space="preserve">Management タブの「Tariff &amp; FX -- Landed Cost Impact」パネルを確認</w:t>
      </w:r>
    </w:p>
    <w:p>
      <w:pPr>
        <w:pStyle w:val="ListParagraph"/>
        <w:numPr>
          <w:ilvl w:val="0"/>
          <w:numId w:val="3"/>
        </w:numPr>
        <w:spacing w:after="40" w:before="40"/>
      </w:pPr>
      <w:r>
        <w:rPr>
          <w:rFonts w:ascii="Arial" w:cs="Arial" w:eastAsia="Arial" w:hAnsi="Arial"/>
          <w:sz w:val="22"/>
          <w:szCs w:val="22"/>
        </w:rPr>
        <w:t xml:space="preserve">WOM Scen（Planning）と LC Scenario（FreightUp / DriverShortage）の組合せ行を読む</w:t>
      </w:r>
    </w:p>
    <w:p>
      <w:pPr>
        <w:pStyle w:val="ListParagraph"/>
        <w:numPr>
          <w:ilvl w:val="0"/>
          <w:numId w:val="3"/>
        </w:numPr>
        <w:spacing w:after="40" w:before="40"/>
      </w:pPr>
      <w:r>
        <w:rPr>
          <w:rFonts w:ascii="Arial" w:cs="Arial" w:eastAsia="Arial" w:hAnsi="Arial"/>
          <w:sz w:val="22"/>
          <w:szCs w:val="22"/>
        </w:rPr>
        <w:t xml:space="preserve">「Delta Margin pp」列で Gross Margin の変化幅（pp = percentage point）を確認</w:t>
      </w:r>
    </w:p>
    <w:p>
      <w:pPr>
        <w:pStyle w:val="ListParagraph"/>
        <w:numPr>
          <w:ilvl w:val="0"/>
          <w:numId w:val="3"/>
        </w:numPr>
        <w:spacing w:after="40" w:before="40"/>
      </w:pPr>
      <w:r>
        <w:rPr>
          <w:rFonts w:ascii="Arial" w:cs="Arial" w:eastAsia="Arial" w:hAnsi="Arial"/>
          <w:sz w:val="22"/>
          <w:szCs w:val="22"/>
        </w:rPr>
        <w:t xml:space="preserve">許容できない場合は edge_cost_master.csv や route_master.csv を見直す</w:t>
      </w:r>
    </w:p>
    <w:p>
      <w:pPr>
        <w:spacing w:after="0" w:before="8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Base シナリオ</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Freight: 47,378百万円、Customs Duty: 0円（国内SC）</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FreightUp シナリオ</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コスト: 61,681百万円。Delta Margin: -8,581 pp</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DriverShortage シナリオ</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コスト: 56,854百万円。Delta Margin: -7,906 pp</w:t>
            </w:r>
          </w:p>
        </w:tc>
      </w:tr>
    </w:tbl>
    <w:p>
      <w:pPr>
        <w:spacing w:after="0" w:before="8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CFO 向け判断基準</w:t>
            </w:r>
          </w:p>
        </w:tc>
      </w:tr>
      <w:tr>
        <w:tc>
          <w:tcPr>
            <w:tcW w:type="dxa" w:w="9026"/>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60"/>
            </w:tcMar>
          </w:tcPr>
          <w:p>
            <w:r>
              <w:rPr>
                <w:rFonts w:ascii="Arial" w:cs="Arial" w:eastAsia="Arial" w:hAnsi="Arial"/>
                <w:sz w:val="21"/>
                <w:szCs w:val="21"/>
              </w:rPr>
              <w:t xml:space="preserve">Delta Margin が +/-2pp 以内 &gt;&gt; 許容範囲。ヘッジなし。</w:t>
            </w:r>
          </w:p>
        </w:tc>
      </w:tr>
      <w:tr>
        <w:tc>
          <w:tcPr>
            <w:tcW w:type="dxa" w:w="9026"/>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60"/>
            </w:tcMar>
          </w:tcPr>
          <w:p>
            <w:r>
              <w:rPr>
                <w:rFonts w:ascii="Arial" w:cs="Arial" w:eastAsia="Arial" w:hAnsi="Arial"/>
                <w:sz w:val="21"/>
                <w:szCs w:val="21"/>
              </w:rPr>
              <w:t xml:space="preserve">Delta Margin が +/-2〜5pp &gt;&gt; 要注意。物流費固定化（長期契約）または代替ルートを検討。</w:t>
            </w:r>
          </w:p>
        </w:tc>
      </w:tr>
      <w:tr>
        <w:tc>
          <w:tcPr>
            <w:tcW w:type="dxa" w:w="9026"/>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60"/>
            </w:tcMar>
          </w:tcPr>
          <w:p>
            <w:r>
              <w:rPr>
                <w:rFonts w:ascii="Arial" w:cs="Arial" w:eastAsia="Arial" w:hAnsi="Arial"/>
                <w:sz w:val="21"/>
                <w:szCs w:val="21"/>
              </w:rPr>
              <w:t xml:space="preserve">Delta Margin が +/-5pp 超 &gt;&gt; 重大リスク。緊急対策（代替モード・価格転嫁）を議論。</w:t>
            </w:r>
          </w:p>
        </w:tc>
      </w:tr>
    </w:tbl>
    <w:p>
      <w:pPr>
        <w:spacing w:after="0" w:before="200"/>
      </w:pPr>
      <w:r>
        <w:rPr>
          <w:rFonts w:ascii="Arial" w:cs="Arial" w:eastAsia="Arial" w:hAnsi="Arial"/>
        </w:rPr>
        <w:t xml:space="preserve"/>
      </w:r>
    </w:p>
    <w:p>
      <w:pPr>
        <w:pStyle w:val="Heading2"/>
        <w:shd w:fill="2E75B6" w:val="clear"/>
        <w:spacing w:after="80" w:before="280"/>
        <w:ind w:left="120"/>
      </w:pPr>
      <w:r>
        <w:rPr>
          <w:rFonts w:ascii="Arial" w:cs="Arial" w:eastAsia="Arial" w:hAnsi="Arial"/>
          <w:b/>
          <w:bCs/>
          <w:color w:val="FFFFFF"/>
          <w:sz w:val="28"/>
          <w:szCs w:val="28"/>
        </w:rPr>
        <w:t xml:space="preserve">2.3  収穫バッチ平準化シナリオ</w:t>
      </w:r>
    </w:p>
    <w:p>
      <w:pPr>
        <w:spacing w:after="0" w:before="120"/>
      </w:pPr>
      <w:r>
        <w:rPr>
          <w:rFonts w:ascii="Arial" w:cs="Arial" w:eastAsia="Arial" w:hAnsi="Arial"/>
        </w:rPr>
        <w:t xml:space="preserve"/>
      </w:r>
    </w:p>
    <w:p>
      <w:pPr>
        <w:pStyle w:val="Heading3"/>
        <w:pBdr>
          <w:bottom w:val="single" w:color="2E75B6" w:sz="4"/>
        </w:pBdr>
        <w:spacing w:after="80" w:before="200"/>
      </w:pPr>
      <w:r>
        <w:rPr>
          <w:rFonts w:ascii="Arial" w:cs="Arial" w:eastAsia="Arial" w:hAnsi="Arial"/>
          <w:b/>
          <w:bCs/>
          <w:color w:val="1F3864"/>
          <w:sz w:val="24"/>
          <w:szCs w:val="24"/>
        </w:rPr>
        <w:t xml:space="preserve">ビジネス背景</w:t>
      </w:r>
    </w:p>
    <w:p>
      <w:pPr>
        <w:spacing w:after="60" w:before="60"/>
      </w:pPr>
      <w:r>
        <w:rPr>
          <w:rFonts w:ascii="Arial" w:cs="Arial" w:eastAsia="Arial" w:hAnsi="Arial"/>
          <w:sz w:val="22"/>
          <w:szCs w:val="22"/>
        </w:rPr>
        <w:t xml:space="preserve">現状の「収穫バッチ生産」プラグインは収穫期（9〜11月）に大量生産し翌年まで在庫として保持するモデルです。生産平準化指数 0.0%（ISSUE）が示す通り、固定費吸収・設備稼働・在庫コストに課題があります。本シナリオでは平準化した場合のKPI改善幅を確認します。</w:t>
      </w:r>
    </w:p>
    <w:p>
      <w:pPr>
        <w:spacing w:after="0" w:before="80"/>
      </w:pPr>
      <w:r>
        <w:rPr>
          <w:rFonts w:ascii="Arial" w:cs="Arial" w:eastAsia="Arial" w:hAnsi="Arial"/>
        </w:rPr>
        <w:t xml:space="preserve"/>
      </w:r>
    </w:p>
    <w:p>
      <w:pPr>
        <w:pStyle w:val="Heading3"/>
        <w:pBdr>
          <w:bottom w:val="single" w:color="2E75B6" w:sz="4"/>
        </w:pBdr>
        <w:spacing w:after="80" w:before="200"/>
      </w:pPr>
      <w:r>
        <w:rPr>
          <w:rFonts w:ascii="Arial" w:cs="Arial" w:eastAsia="Arial" w:hAnsi="Arial"/>
          <w:b/>
          <w:bCs/>
          <w:color w:val="1F3864"/>
          <w:sz w:val="24"/>
          <w:szCs w:val="24"/>
        </w:rPr>
        <w:t xml:space="preserve">WOM 操作手順</w:t>
      </w:r>
    </w:p>
    <w:p>
      <w:pPr>
        <w:pStyle w:val="ListParagraph"/>
        <w:numPr>
          <w:ilvl w:val="0"/>
          <w:numId w:val="3"/>
        </w:numPr>
        <w:spacing w:after="40" w:before="40"/>
      </w:pPr>
      <w:r>
        <w:rPr>
          <w:rFonts w:ascii="Arial" w:cs="Arial" w:eastAsia="Arial" w:hAnsi="Arial"/>
          <w:sz w:val="22"/>
          <w:szCs w:val="22"/>
        </w:rPr>
        <w:t xml:space="preserve">左パネル「Plugins」の「収穫期バッチ生産（Harvest Batch）」チェックを外す</w:t>
      </w:r>
    </w:p>
    <w:p>
      <w:pPr>
        <w:pStyle w:val="ListParagraph"/>
        <w:numPr>
          <w:ilvl w:val="0"/>
          <w:numId w:val="3"/>
        </w:numPr>
        <w:spacing w:after="40" w:before="40"/>
      </w:pPr>
      <w:r>
        <w:rPr>
          <w:rFonts w:ascii="Arial" w:cs="Arial" w:eastAsia="Arial" w:hAnsi="Arial"/>
          <w:sz w:val="22"/>
          <w:szCs w:val="22"/>
        </w:rPr>
        <w:t xml:space="preserve">「Run Planning Engine」を実行（平準化モードで再計算）</w:t>
      </w:r>
    </w:p>
    <w:p>
      <w:pPr>
        <w:pStyle w:val="ListParagraph"/>
        <w:numPr>
          <w:ilvl w:val="0"/>
          <w:numId w:val="3"/>
        </w:numPr>
        <w:spacing w:after="40" w:before="40"/>
      </w:pPr>
      <w:r>
        <w:rPr>
          <w:rFonts w:ascii="Arial" w:cs="Arial" w:eastAsia="Arial" w:hAnsi="Arial"/>
          <w:sz w:val="22"/>
          <w:szCs w:val="22"/>
        </w:rPr>
        <w:t xml:space="preserve">Management タブ &gt;&gt; Strategic KPI で以下の改善を確認</w:t>
      </w:r>
    </w:p>
    <w:p>
      <w:pPr>
        <w:pStyle w:val="ListParagraph"/>
        <w:numPr>
          <w:ilvl w:val="1"/>
          <w:numId w:val="3"/>
        </w:numPr>
        <w:spacing w:after="40" w:before="40"/>
      </w:pPr>
      <w:r>
        <w:rPr>
          <w:rFonts w:ascii="Arial" w:cs="Arial" w:eastAsia="Arial" w:hAnsi="Arial"/>
          <w:sz w:val="22"/>
          <w:szCs w:val="22"/>
        </w:rPr>
        <w:t xml:space="preserve">生産平準化指数：0.0% &gt;&gt; 目標 &gt;= 80%への改善幅</w:t>
      </w:r>
    </w:p>
    <w:p>
      <w:pPr>
        <w:pStyle w:val="ListParagraph"/>
        <w:numPr>
          <w:ilvl w:val="1"/>
          <w:numId w:val="3"/>
        </w:numPr>
        <w:spacing w:after="40" w:before="40"/>
      </w:pPr>
      <w:r>
        <w:rPr>
          <w:rFonts w:ascii="Arial" w:cs="Arial" w:eastAsia="Arial" w:hAnsi="Arial"/>
          <w:sz w:val="22"/>
          <w:szCs w:val="22"/>
        </w:rPr>
        <w:t xml:space="preserve">固定費吸収率：56.6% &gt;&gt; 目標 &gt;= 75%への改善幅</w:t>
      </w:r>
    </w:p>
    <w:p>
      <w:pPr>
        <w:pStyle w:val="ListParagraph"/>
        <w:numPr>
          <w:ilvl w:val="1"/>
          <w:numId w:val="3"/>
        </w:numPr>
        <w:spacing w:after="40" w:before="40"/>
      </w:pPr>
      <w:r>
        <w:rPr>
          <w:rFonts w:ascii="Arial" w:cs="Arial" w:eastAsia="Arial" w:hAnsi="Arial"/>
          <w:sz w:val="22"/>
          <w:szCs w:val="22"/>
        </w:rPr>
        <w:t xml:space="preserve">在庫滞留率：9.9% &gt;&gt; 目標 20-50%への改善幅</w:t>
      </w:r>
    </w:p>
    <w:p>
      <w:pPr>
        <w:pStyle w:val="ListParagraph"/>
        <w:numPr>
          <w:ilvl w:val="0"/>
          <w:numId w:val="3"/>
        </w:numPr>
        <w:spacing w:after="40" w:before="40"/>
      </w:pPr>
      <w:r>
        <w:rPr>
          <w:rFonts w:ascii="Arial" w:cs="Arial" w:eastAsia="Arial" w:hAnsi="Arial"/>
          <w:sz w:val="22"/>
          <w:szCs w:val="22"/>
        </w:rPr>
        <w:t xml:space="preserve">PPC タブで Revenue Trend の季節変動が緩和されているか確認</w:t>
      </w:r>
    </w:p>
    <w:p>
      <w:pPr>
        <w:spacing w:after="0" w:before="8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375623" w:val="clear"/>
            <w:tcMar>
              <w:top w:type="dxa" w:w="80"/>
              <w:left w:type="dxa" w:w="160"/>
              <w:bottom w:type="dxa" w:w="80"/>
              <w:right w:type="dxa" w:w="160"/>
            </w:tcMar>
          </w:tcPr>
          <w:p>
            <w:r>
              <w:rPr>
                <w:rFonts w:ascii="Arial" w:cs="Arial" w:eastAsia="Arial" w:hAnsi="Arial"/>
                <w:b/>
                <w:bCs/>
                <w:color w:val="FFFFFF"/>
                <w:sz w:val="22"/>
                <w:szCs w:val="22"/>
              </w:rPr>
              <w:t xml:space="preserve">COO 向け平準化の意思決定ポイント</w:t>
            </w:r>
          </w:p>
        </w:tc>
      </w:tr>
      <w:tr>
        <w:tc>
          <w:tcPr>
            <w:tcW w:type="dxa" w:w="9026"/>
            <w:tcBorders>
              <w:top w:val="single" w:color="CCCCCC" w:sz="1"/>
              <w:left w:val="single" w:color="CCCCCC" w:sz="1"/>
              <w:bottom w:val="single" w:color="CCCCCC" w:sz="1"/>
              <w:right w:val="single" w:color="CCCCCC" w:sz="1"/>
            </w:tcBorders>
            <w:shd w:fill="E2EFDA" w:val="clear"/>
            <w:tcMar>
              <w:top w:type="dxa" w:w="60"/>
              <w:left w:type="dxa" w:w="200"/>
              <w:bottom w:type="dxa" w:w="60"/>
              <w:right w:type="dxa" w:w="160"/>
            </w:tcMar>
          </w:tcPr>
          <w:p>
            <w:r>
              <w:rPr>
                <w:rFonts w:ascii="Arial" w:cs="Arial" w:eastAsia="Arial" w:hAnsi="Arial"/>
                <w:sz w:val="21"/>
                <w:szCs w:val="21"/>
              </w:rPr>
              <w:t xml:space="preserve">平準化できる条件：通年稼働可能な精米設備が存在する、または増設投資が採算に合う。</w:t>
            </w:r>
          </w:p>
        </w:tc>
      </w:tr>
      <w:tr>
        <w:tc>
          <w:tcPr>
            <w:tcW w:type="dxa" w:w="9026"/>
            <w:tcBorders>
              <w:top w:val="single" w:color="CCCCCC" w:sz="1"/>
              <w:left w:val="single" w:color="CCCCCC" w:sz="1"/>
              <w:bottom w:val="single" w:color="CCCCCC" w:sz="1"/>
              <w:right w:val="single" w:color="CCCCCC" w:sz="1"/>
            </w:tcBorders>
            <w:shd w:fill="E2EFDA" w:val="clear"/>
            <w:tcMar>
              <w:top w:type="dxa" w:w="60"/>
              <w:left w:type="dxa" w:w="200"/>
              <w:bottom w:type="dxa" w:w="60"/>
              <w:right w:type="dxa" w:w="160"/>
            </w:tcMar>
          </w:tcPr>
          <w:p>
            <w:r>
              <w:rPr>
                <w:rFonts w:ascii="Arial" w:cs="Arial" w:eastAsia="Arial" w:hAnsi="Arial"/>
                <w:sz w:val="21"/>
                <w:szCs w:val="21"/>
              </w:rPr>
              <w:t xml:space="preserve">平準化の障壁：農家の収穫パターンは変えられない &gt;&gt; 収穫後の籾保管能力が必要。</w:t>
            </w:r>
          </w:p>
        </w:tc>
      </w:tr>
      <w:tr>
        <w:tc>
          <w:tcPr>
            <w:tcW w:type="dxa" w:w="9026"/>
            <w:tcBorders>
              <w:top w:val="single" w:color="CCCCCC" w:sz="1"/>
              <w:left w:val="single" w:color="CCCCCC" w:sz="1"/>
              <w:bottom w:val="single" w:color="CCCCCC" w:sz="1"/>
              <w:right w:val="single" w:color="CCCCCC" w:sz="1"/>
            </w:tcBorders>
            <w:shd w:fill="E2EFDA" w:val="clear"/>
            <w:tcMar>
              <w:top w:type="dxa" w:w="60"/>
              <w:left w:type="dxa" w:w="200"/>
              <w:bottom w:type="dxa" w:w="60"/>
              <w:right w:type="dxa" w:w="160"/>
            </w:tcMar>
          </w:tcPr>
          <w:p>
            <w:r>
              <w:rPr>
                <w:rFonts w:ascii="Arial" w:cs="Arial" w:eastAsia="Arial" w:hAnsi="Arial"/>
                <w:sz w:val="21"/>
                <w:szCs w:val="21"/>
              </w:rPr>
              <w:t xml:space="preserve">推奨アクション：籾保管倉庫（低コスト）への投資 vs 大型精米設備（高コスト）のROI比較。</w:t>
            </w:r>
          </w:p>
        </w:tc>
      </w:tr>
      <w:tr>
        <w:tc>
          <w:tcPr>
            <w:tcW w:type="dxa" w:w="9026"/>
            <w:tcBorders>
              <w:top w:val="single" w:color="CCCCCC" w:sz="1"/>
              <w:left w:val="single" w:color="CCCCCC" w:sz="1"/>
              <w:bottom w:val="single" w:color="CCCCCC" w:sz="1"/>
              <w:right w:val="single" w:color="CCCCCC" w:sz="1"/>
            </w:tcBorders>
            <w:shd w:fill="E2EFDA" w:val="clear"/>
            <w:tcMar>
              <w:top w:type="dxa" w:w="60"/>
              <w:left w:type="dxa" w:w="200"/>
              <w:bottom w:type="dxa" w:w="60"/>
              <w:right w:type="dxa" w:w="160"/>
            </w:tcMar>
          </w:tcPr>
          <w:p>
            <w:r>
              <w:rPr>
                <w:rFonts w:ascii="Arial" w:cs="Arial" w:eastAsia="Arial" w:hAnsi="Arial"/>
                <w:sz w:val="21"/>
                <w:szCs w:val="21"/>
              </w:rPr>
              <w:t xml:space="preserve">&gt;&gt; capacity_plan.csv と edge_cost_master.csv を更新してWOMで再シミュレーション。</w:t>
            </w:r>
          </w:p>
        </w:tc>
      </w:tr>
    </w:tbl>
    <w:p>
      <w:r>
        <w:br w:type="page"/>
      </w:r>
    </w:p>
    <w:p>
      <w:pPr>
        <w:pStyle w:val="Heading1"/>
        <w:shd w:fill="1F3864" w:val="clear"/>
        <w:spacing w:after="120" w:before="360"/>
        <w:ind w:left="120"/>
      </w:pPr>
      <w:r>
        <w:rPr>
          <w:rFonts w:ascii="Arial" w:cs="Arial" w:eastAsia="Arial" w:hAnsi="Arial"/>
          <w:b/>
          <w:bCs/>
          <w:color w:val="FFFFFF"/>
          <w:sz w:val="36"/>
          <w:szCs w:val="36"/>
        </w:rPr>
        <w:t xml:space="preserve">Part 3: 突発イベント対応</w:t>
      </w:r>
    </w:p>
    <w:p>
      <w:pPr>
        <w:spacing w:after="0" w:before="120"/>
      </w:pPr>
      <w:r>
        <w:rPr>
          <w:rFonts w:ascii="Arial" w:cs="Arial" w:eastAsia="Arial" w:hAnsi="Arial"/>
        </w:rPr>
        <w:t xml:space="preserve"/>
      </w:r>
    </w:p>
    <w:p>
      <w:pPr>
        <w:spacing w:after="60" w:before="60"/>
      </w:pPr>
      <w:r>
        <w:rPr>
          <w:rFonts w:ascii="Arial" w:cs="Arial" w:eastAsia="Arial" w:hAnsi="Arial"/>
          <w:sz w:val="22"/>
          <w:szCs w:val="22"/>
        </w:rPr>
        <w:t xml:space="preserve">予期せぬ外部ショックに対して、WOM ではマスターCSVを変更して Planning Engine を再実行することで「影響の定量化」と「代替案の比較」を迅速に行えます。</w:t>
      </w:r>
    </w:p>
    <w:p>
      <w:pPr>
        <w:spacing w:after="0" w:before="160"/>
      </w:pPr>
      <w:r>
        <w:rPr>
          <w:rFonts w:ascii="Arial" w:cs="Arial" w:eastAsia="Arial" w:hAnsi="Arial"/>
        </w:rPr>
        <w:t xml:space="preserve"/>
      </w:r>
    </w:p>
    <w:p>
      <w:pPr>
        <w:pStyle w:val="Heading2"/>
        <w:shd w:fill="2E75B6" w:val="clear"/>
        <w:spacing w:after="80" w:before="280"/>
        <w:ind w:left="120"/>
      </w:pPr>
      <w:r>
        <w:rPr>
          <w:rFonts w:ascii="Arial" w:cs="Arial" w:eastAsia="Arial" w:hAnsi="Arial"/>
          <w:b/>
          <w:bCs/>
          <w:color w:val="FFFFFF"/>
          <w:sz w:val="28"/>
          <w:szCs w:val="28"/>
        </w:rPr>
        <w:t xml:space="preserve">3.1  供給途絶（サプライヤー停止・物流ルート遮断）</w:t>
      </w:r>
    </w:p>
    <w:p>
      <w:pPr>
        <w:spacing w:after="0" w:before="120"/>
      </w:pPr>
      <w:r>
        <w:rPr>
          <w:rFonts w:ascii="Arial" w:cs="Arial" w:eastAsia="Arial" w:hAnsi="Arial"/>
        </w:rPr>
        <w:t xml:space="preserve"/>
      </w:r>
    </w:p>
    <w:p>
      <w:pPr>
        <w:pStyle w:val="Heading3"/>
        <w:pBdr>
          <w:bottom w:val="single" w:color="2E75B6" w:sz="4"/>
        </w:pBdr>
        <w:spacing w:after="80" w:before="200"/>
      </w:pPr>
      <w:r>
        <w:rPr>
          <w:rFonts w:ascii="Arial" w:cs="Arial" w:eastAsia="Arial" w:hAnsi="Arial"/>
          <w:b/>
          <w:bCs/>
          <w:color w:val="1F3864"/>
          <w:sz w:val="24"/>
          <w:szCs w:val="24"/>
        </w:rPr>
        <w:t xml:space="preserve">想定シナリオ例</w:t>
      </w:r>
    </w:p>
    <w:p>
      <w:pPr>
        <w:pStyle w:val="ListParagraph"/>
        <w:numPr>
          <w:ilvl w:val="0"/>
          <w:numId w:val="2"/>
        </w:numPr>
        <w:spacing w:after="40" w:before="40"/>
      </w:pPr>
      <w:r>
        <w:rPr>
          <w:rFonts w:ascii="Arial" w:cs="Arial" w:eastAsia="Arial" w:hAnsi="Arial"/>
          <w:sz w:val="22"/>
          <w:szCs w:val="22"/>
        </w:rPr>
        <w:t xml:space="preserve">JA新潟の精米ライン停止（設備故障・災害）</w:t>
      </w:r>
    </w:p>
    <w:p>
      <w:pPr>
        <w:pStyle w:val="ListParagraph"/>
        <w:numPr>
          <w:ilvl w:val="0"/>
          <w:numId w:val="2"/>
        </w:numPr>
        <w:spacing w:after="40" w:before="40"/>
      </w:pPr>
      <w:r>
        <w:rPr>
          <w:rFonts w:ascii="Arial" w:cs="Arial" w:eastAsia="Arial" w:hAnsi="Arial"/>
          <w:sz w:val="22"/>
          <w:szCs w:val="22"/>
        </w:rPr>
        <w:t xml:space="preserve">DC東日本への幹線道路通行止め（大雪・地震）</w:t>
      </w:r>
    </w:p>
    <w:p>
      <w:pPr>
        <w:pStyle w:val="ListParagraph"/>
        <w:numPr>
          <w:ilvl w:val="0"/>
          <w:numId w:val="2"/>
        </w:numPr>
        <w:spacing w:after="40" w:before="40"/>
      </w:pPr>
      <w:r>
        <w:rPr>
          <w:rFonts w:ascii="Arial" w:cs="Arial" w:eastAsia="Arial" w:hAnsi="Arial"/>
          <w:sz w:val="22"/>
          <w:szCs w:val="22"/>
        </w:rPr>
        <w:t xml:space="preserve">特定産地の作況不良による収量急減</w:t>
      </w:r>
    </w:p>
    <w:p>
      <w:pPr>
        <w:spacing w:after="0" w:before="80"/>
      </w:pPr>
      <w:r>
        <w:rPr>
          <w:rFonts w:ascii="Arial" w:cs="Arial" w:eastAsia="Arial" w:hAnsi="Arial"/>
        </w:rPr>
        <w:t xml:space="preserve"/>
      </w:r>
    </w:p>
    <w:p>
      <w:pPr>
        <w:pStyle w:val="Heading3"/>
        <w:pBdr>
          <w:bottom w:val="single" w:color="2E75B6" w:sz="4"/>
        </w:pBdr>
        <w:spacing w:after="80" w:before="200"/>
      </w:pPr>
      <w:r>
        <w:rPr>
          <w:rFonts w:ascii="Arial" w:cs="Arial" w:eastAsia="Arial" w:hAnsi="Arial"/>
          <w:b/>
          <w:bCs/>
          <w:color w:val="1F3864"/>
          <w:sz w:val="24"/>
          <w:szCs w:val="24"/>
        </w:rPr>
        <w:t xml:space="preserve">WOM 対応手順（例：JA新潟精米ライン 4週間停止）</w:t>
      </w:r>
    </w:p>
    <w:p>
      <w:pPr>
        <w:pStyle w:val="ListParagraph"/>
        <w:numPr>
          <w:ilvl w:val="0"/>
          <w:numId w:val="3"/>
        </w:numPr>
        <w:spacing w:after="40" w:before="40"/>
      </w:pPr>
      <w:r>
        <w:rPr>
          <w:rFonts w:ascii="Arial" w:cs="Arial" w:eastAsia="Arial" w:hAnsi="Arial"/>
          <w:sz w:val="22"/>
          <w:szCs w:val="22"/>
        </w:rPr>
        <w:t xml:space="preserve">capacity_plan.csv を開き、JA_Niigata_Seihaku の該当週（例：W10〜W13）の hard_cap を 0 に変更</w:t>
      </w:r>
    </w:p>
    <w:p>
      <w:pPr>
        <w:pStyle w:val="ListParagraph"/>
        <w:numPr>
          <w:ilvl w:val="0"/>
          <w:numId w:val="3"/>
        </w:numPr>
        <w:spacing w:after="40" w:before="40"/>
      </w:pPr>
      <w:r>
        <w:rPr>
          <w:rFonts w:ascii="Arial" w:cs="Arial" w:eastAsia="Arial" w:hAnsi="Arial"/>
          <w:sz w:val="22"/>
          <w:szCs w:val="22"/>
        </w:rPr>
        <w:t xml:space="preserve">「Run Planning Engine」を実行</w:t>
      </w:r>
    </w:p>
    <w:p>
      <w:pPr>
        <w:pStyle w:val="ListParagraph"/>
        <w:numPr>
          <w:ilvl w:val="0"/>
          <w:numId w:val="3"/>
        </w:numPr>
        <w:spacing w:after="40" w:before="40"/>
      </w:pPr>
      <w:r>
        <w:rPr>
          <w:rFonts w:ascii="Arial" w:cs="Arial" w:eastAsia="Arial" w:hAnsi="Arial"/>
          <w:sz w:val="22"/>
          <w:szCs w:val="22"/>
        </w:rPr>
        <w:t xml:space="preserve">At-Risk SKUs で影響を受けるSKU・地域・週を確認</w:t>
      </w:r>
    </w:p>
    <w:p>
      <w:pPr>
        <w:pStyle w:val="ListParagraph"/>
        <w:numPr>
          <w:ilvl w:val="0"/>
          <w:numId w:val="3"/>
        </w:numPr>
        <w:spacing w:after="40" w:before="40"/>
      </w:pPr>
      <w:r>
        <w:rPr>
          <w:rFonts w:ascii="Arial" w:cs="Arial" w:eastAsia="Arial" w:hAnsi="Arial"/>
          <w:sz w:val="22"/>
          <w:szCs w:val="22"/>
        </w:rPr>
        <w:t xml:space="preserve">Network タブで JA_Niigata を選択し、PSI チャートで在庫枯渇時期を確認</w:t>
      </w:r>
    </w:p>
    <w:p>
      <w:pPr>
        <w:pStyle w:val="ListParagraph"/>
        <w:numPr>
          <w:ilvl w:val="0"/>
          <w:numId w:val="3"/>
        </w:numPr>
        <w:spacing w:after="40" w:before="40"/>
      </w:pPr>
      <w:r>
        <w:rPr>
          <w:rFonts w:ascii="Arial" w:cs="Arial" w:eastAsia="Arial" w:hAnsi="Arial"/>
          <w:sz w:val="22"/>
          <w:szCs w:val="22"/>
        </w:rPr>
        <w:t xml:space="preserve">代替対応案の入力：</w:t>
      </w:r>
    </w:p>
    <w:p>
      <w:pPr>
        <w:pStyle w:val="ListParagraph"/>
        <w:numPr>
          <w:ilvl w:val="1"/>
          <w:numId w:val="3"/>
        </w:numPr>
        <w:spacing w:after="40" w:before="40"/>
      </w:pPr>
      <w:r>
        <w:rPr>
          <w:rFonts w:ascii="Arial" w:cs="Arial" w:eastAsia="Arial" w:hAnsi="Arial"/>
          <w:sz w:val="22"/>
          <w:szCs w:val="22"/>
        </w:rPr>
        <w:t xml:space="preserve">JA北海道精米ラインへの振り替え &gt;&gt; capacity_plan.csv で JA_Hokkaido_Seihaku を増量</w:t>
      </w:r>
    </w:p>
    <w:p>
      <w:pPr>
        <w:pStyle w:val="ListParagraph"/>
        <w:numPr>
          <w:ilvl w:val="1"/>
          <w:numId w:val="3"/>
        </w:numPr>
        <w:spacing w:after="40" w:before="40"/>
      </w:pPr>
      <w:r>
        <w:rPr>
          <w:rFonts w:ascii="Arial" w:cs="Arial" w:eastAsia="Arial" w:hAnsi="Arial"/>
          <w:sz w:val="22"/>
          <w:szCs w:val="22"/>
        </w:rPr>
        <w:t xml:space="preserve">DC西日本在庫を東日本向けに転送 &gt;&gt; lane_assignment.csv を更新</w:t>
      </w:r>
    </w:p>
    <w:p>
      <w:pPr>
        <w:pStyle w:val="ListParagraph"/>
        <w:numPr>
          <w:ilvl w:val="0"/>
          <w:numId w:val="3"/>
        </w:numPr>
        <w:spacing w:after="40" w:before="40"/>
      </w:pPr>
      <w:r>
        <w:rPr>
          <w:rFonts w:ascii="Arial" w:cs="Arial" w:eastAsia="Arial" w:hAnsi="Arial"/>
          <w:sz w:val="22"/>
          <w:szCs w:val="22"/>
        </w:rPr>
        <w:t xml:space="preserve">再実行して需要充足率の回復を確認</w:t>
      </w:r>
    </w:p>
    <w:p>
      <w:pPr>
        <w:spacing w:after="0" w:before="80"/>
      </w:pPr>
      <w:r>
        <w:rPr>
          <w:rFonts w:ascii="Arial" w:cs="Arial" w:eastAsia="Arial" w:hAnsi="Arial"/>
        </w:rPr>
        <w:t xml:space="preserve"/>
      </w:r>
    </w:p>
    <w:p>
      <w:pPr>
        <w:pStyle w:val="Heading3"/>
        <w:pBdr>
          <w:bottom w:val="single" w:color="2E75B6" w:sz="4"/>
        </w:pBdr>
        <w:spacing w:after="80" w:before="200"/>
      </w:pPr>
      <w:r>
        <w:rPr>
          <w:rFonts w:ascii="Arial" w:cs="Arial" w:eastAsia="Arial" w:hAnsi="Arial"/>
          <w:b/>
          <w:bCs/>
          <w:color w:val="1F3864"/>
          <w:sz w:val="24"/>
          <w:szCs w:val="24"/>
        </w:rPr>
        <w:t xml:space="preserve">Go / No Go 判定フレームワーク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確認項目</w:t>
            </w:r>
          </w:p>
        </w:tc>
        <w:tc>
          <w:tcPr>
            <w:tcW w:type="dxa" w:w="5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判断基準</w:t>
            </w:r>
          </w:p>
        </w:tc>
      </w:tr>
      <w:tr>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代替供給コスト増加</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Landed Cost Impact で Delta Margin 確認。+/-5pp 超は要役員承認。</w:t>
            </w:r>
          </w:p>
        </w:tc>
      </w:tr>
      <w:tr>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需要充足率の回復</w:t>
            </w:r>
          </w:p>
        </w:tc>
        <w:tc>
          <w:tcPr>
            <w:tcW w:type="dxa" w:w="5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代替策後に需要充足率 &gt;= 90% なら Go（通常時の &gt;= 95% から暫定緩和）。</w:t>
            </w:r>
          </w:p>
        </w:tc>
      </w:tr>
      <w:tr>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在庫バッファの消費期間</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在庫が枯渇するまでの週数 &gt;= 代替策リードタイム なら Go。</w:t>
            </w:r>
          </w:p>
        </w:tc>
      </w:tr>
      <w:tr>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ブランドリスク</w:t>
            </w:r>
          </w:p>
        </w:tc>
        <w:tc>
          <w:tcPr>
            <w:tcW w:type="dxa" w:w="5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欠品が 2週超続く市場では価格維持より供給優先。充足率 &gt;= 95% を死守。</w:t>
            </w:r>
          </w:p>
        </w:tc>
      </w:tr>
    </w:tbl>
    <w:p>
      <w:pPr>
        <w:spacing w:after="0" w:before="200"/>
      </w:pPr>
      <w:r>
        <w:rPr>
          <w:rFonts w:ascii="Arial" w:cs="Arial" w:eastAsia="Arial" w:hAnsi="Arial"/>
        </w:rPr>
        <w:t xml:space="preserve"/>
      </w:r>
    </w:p>
    <w:p>
      <w:pPr>
        <w:pStyle w:val="Heading2"/>
        <w:shd w:fill="2E75B6" w:val="clear"/>
        <w:spacing w:after="80" w:before="280"/>
        <w:ind w:left="120"/>
      </w:pPr>
      <w:r>
        <w:rPr>
          <w:rFonts w:ascii="Arial" w:cs="Arial" w:eastAsia="Arial" w:hAnsi="Arial"/>
          <w:b/>
          <w:bCs/>
          <w:color w:val="FFFFFF"/>
          <w:sz w:val="28"/>
          <w:szCs w:val="28"/>
        </w:rPr>
        <w:t xml:space="preserve">3.2  特定地域の需要急変</w:t>
      </w:r>
    </w:p>
    <w:p>
      <w:pPr>
        <w:spacing w:after="0" w:before="120"/>
      </w:pPr>
      <w:r>
        <w:rPr>
          <w:rFonts w:ascii="Arial" w:cs="Arial" w:eastAsia="Arial" w:hAnsi="Arial"/>
        </w:rPr>
        <w:t xml:space="preserve"/>
      </w:r>
    </w:p>
    <w:p>
      <w:pPr>
        <w:pStyle w:val="Heading3"/>
        <w:pBdr>
          <w:bottom w:val="single" w:color="2E75B6" w:sz="4"/>
        </w:pBdr>
        <w:spacing w:after="80" w:before="200"/>
      </w:pPr>
      <w:r>
        <w:rPr>
          <w:rFonts w:ascii="Arial" w:cs="Arial" w:eastAsia="Arial" w:hAnsi="Arial"/>
          <w:b/>
          <w:bCs/>
          <w:color w:val="1F3864"/>
          <w:sz w:val="24"/>
          <w:szCs w:val="24"/>
        </w:rPr>
        <w:t xml:space="preserve">想定シナリオ例</w:t>
      </w:r>
    </w:p>
    <w:p>
      <w:pPr>
        <w:pStyle w:val="ListParagraph"/>
        <w:numPr>
          <w:ilvl w:val="0"/>
          <w:numId w:val="2"/>
        </w:numPr>
        <w:spacing w:after="40" w:before="40"/>
      </w:pPr>
      <w:r>
        <w:rPr>
          <w:rFonts w:ascii="Arial" w:cs="Arial" w:eastAsia="Arial" w:hAnsi="Arial"/>
          <w:sz w:val="22"/>
          <w:szCs w:val="22"/>
        </w:rPr>
        <w:t xml:space="preserve">関東の需要急増（競合品の品質問題による代替需要）</w:t>
      </w:r>
    </w:p>
    <w:p>
      <w:pPr>
        <w:pStyle w:val="ListParagraph"/>
        <w:numPr>
          <w:ilvl w:val="0"/>
          <w:numId w:val="2"/>
        </w:numPr>
        <w:spacing w:after="40" w:before="40"/>
      </w:pPr>
      <w:r>
        <w:rPr>
          <w:rFonts w:ascii="Arial" w:cs="Arial" w:eastAsia="Arial" w:hAnsi="Arial"/>
          <w:sz w:val="22"/>
          <w:szCs w:val="22"/>
        </w:rPr>
        <w:t xml:space="preserve">九州の需要急減（大規模小売チェーンの棚変更）</w:t>
      </w:r>
    </w:p>
    <w:p>
      <w:pPr>
        <w:pStyle w:val="ListParagraph"/>
        <w:numPr>
          <w:ilvl w:val="0"/>
          <w:numId w:val="2"/>
        </w:numPr>
        <w:spacing w:after="40" w:before="40"/>
      </w:pPr>
      <w:r>
        <w:rPr>
          <w:rFonts w:ascii="Arial" w:cs="Arial" w:eastAsia="Arial" w:hAnsi="Arial"/>
          <w:sz w:val="22"/>
          <w:szCs w:val="22"/>
        </w:rPr>
        <w:t xml:space="preserve">北海道産ブランド向上による Yumepirika の全国需要急増</w:t>
      </w:r>
    </w:p>
    <w:p>
      <w:pPr>
        <w:spacing w:after="0" w:before="80"/>
      </w:pPr>
      <w:r>
        <w:rPr>
          <w:rFonts w:ascii="Arial" w:cs="Arial" w:eastAsia="Arial" w:hAnsi="Arial"/>
        </w:rPr>
        <w:t xml:space="preserve"/>
      </w:r>
    </w:p>
    <w:p>
      <w:pPr>
        <w:pStyle w:val="Heading3"/>
        <w:pBdr>
          <w:bottom w:val="single" w:color="2E75B6" w:sz="4"/>
        </w:pBdr>
        <w:spacing w:after="80" w:before="200"/>
      </w:pPr>
      <w:r>
        <w:rPr>
          <w:rFonts w:ascii="Arial" w:cs="Arial" w:eastAsia="Arial" w:hAnsi="Arial"/>
          <w:b/>
          <w:bCs/>
          <w:color w:val="1F3864"/>
          <w:sz w:val="24"/>
          <w:szCs w:val="24"/>
        </w:rPr>
        <w:t xml:space="preserve">WOM 対応手順（例：関東需要 +30% 急増）</w:t>
      </w:r>
    </w:p>
    <w:p>
      <w:pPr>
        <w:pStyle w:val="ListParagraph"/>
        <w:numPr>
          <w:ilvl w:val="0"/>
          <w:numId w:val="3"/>
        </w:numPr>
        <w:spacing w:after="40" w:before="40"/>
      </w:pPr>
      <w:r>
        <w:rPr>
          <w:rFonts w:ascii="Arial" w:cs="Arial" w:eastAsia="Arial" w:hAnsi="Arial"/>
          <w:sz w:val="22"/>
          <w:szCs w:val="22"/>
        </w:rPr>
        <w:t xml:space="preserve">demand_forecast.csv を開き、KANTO 地域の対象週の demand 値を x1.3 に更新</w:t>
      </w:r>
    </w:p>
    <w:p>
      <w:pPr>
        <w:pStyle w:val="ListParagraph"/>
        <w:numPr>
          <w:ilvl w:val="0"/>
          <w:numId w:val="3"/>
        </w:numPr>
        <w:spacing w:after="40" w:before="40"/>
      </w:pPr>
      <w:r>
        <w:rPr>
          <w:rFonts w:ascii="Arial" w:cs="Arial" w:eastAsia="Arial" w:hAnsi="Arial"/>
          <w:sz w:val="22"/>
          <w:szCs w:val="22"/>
        </w:rPr>
        <w:t xml:space="preserve">「Run Planning Engine」を実行</w:t>
      </w:r>
    </w:p>
    <w:p>
      <w:pPr>
        <w:pStyle w:val="ListParagraph"/>
        <w:numPr>
          <w:ilvl w:val="0"/>
          <w:numId w:val="3"/>
        </w:numPr>
        <w:spacing w:after="40" w:before="40"/>
      </w:pPr>
      <w:r>
        <w:rPr>
          <w:rFonts w:ascii="Arial" w:cs="Arial" w:eastAsia="Arial" w:hAnsi="Arial"/>
          <w:sz w:val="22"/>
          <w:szCs w:val="22"/>
        </w:rPr>
        <w:t xml:space="preserve">At-Risk SKUs で KANTO の供給状況を確認</w:t>
      </w:r>
    </w:p>
    <w:p>
      <w:pPr>
        <w:pStyle w:val="ListParagraph"/>
        <w:numPr>
          <w:ilvl w:val="0"/>
          <w:numId w:val="3"/>
        </w:numPr>
        <w:spacing w:after="40" w:before="40"/>
      </w:pPr>
      <w:r>
        <w:rPr>
          <w:rFonts w:ascii="Arial" w:cs="Arial" w:eastAsia="Arial" w:hAnsi="Arial"/>
          <w:sz w:val="22"/>
          <w:szCs w:val="22"/>
        </w:rPr>
        <w:t xml:space="preserve">PPC タブの Lot Gross Margin by Channel で KANTO の利益率を確認（増量の採算性）</w:t>
      </w:r>
    </w:p>
    <w:p>
      <w:pPr>
        <w:pStyle w:val="ListParagraph"/>
        <w:numPr>
          <w:ilvl w:val="0"/>
          <w:numId w:val="3"/>
        </w:numPr>
        <w:spacing w:after="40" w:before="40"/>
      </w:pPr>
      <w:r>
        <w:rPr>
          <w:rFonts w:ascii="Arial" w:cs="Arial" w:eastAsia="Arial" w:hAnsi="Arial"/>
          <w:sz w:val="22"/>
          <w:szCs w:val="22"/>
        </w:rPr>
        <w:t xml:space="preserve">供給が逼迫する場合：PPC Gross Margin を基準に他地域からの振り替えを判断</w:t>
      </w:r>
    </w:p>
    <w:p>
      <w:pPr>
        <w:spacing w:after="0" w:before="8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需要変動の一過性 vs 恒常性の判断</w:t>
            </w:r>
          </w:p>
        </w:tc>
      </w:tr>
      <w:tr>
        <w:tc>
          <w:tcPr>
            <w:tcW w:type="dxa" w:w="9026"/>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60"/>
            </w:tcMar>
          </w:tcPr>
          <w:p>
            <w:r>
              <w:rPr>
                <w:rFonts w:ascii="Arial" w:cs="Arial" w:eastAsia="Arial" w:hAnsi="Arial"/>
                <w:sz w:val="21"/>
                <w:szCs w:val="21"/>
              </w:rPr>
              <w:t xml:space="preserve">【一過性（2〜4週）】: 在庫バッファで吸収。demand_forecast は変更不要。</w:t>
            </w:r>
          </w:p>
        </w:tc>
      </w:tr>
      <w:tr>
        <w:tc>
          <w:tcPr>
            <w:tcW w:type="dxa" w:w="9026"/>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60"/>
            </w:tcMar>
          </w:tcPr>
          <w:p>
            <w:r>
              <w:rPr>
                <w:rFonts w:ascii="Arial" w:cs="Arial" w:eastAsia="Arial" w:hAnsi="Arial"/>
                <w:sz w:val="21"/>
                <w:szCs w:val="21"/>
              </w:rPr>
              <w:t xml:space="preserve">【中期（1〜3ヶ月）】: demand_forecast を当該期間だけ変更。供給計画を局所的に更新。</w:t>
            </w:r>
          </w:p>
        </w:tc>
      </w:tr>
      <w:tr>
        <w:tc>
          <w:tcPr>
            <w:tcW w:type="dxa" w:w="9026"/>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60"/>
            </w:tcMar>
          </w:tcPr>
          <w:p>
            <w:r>
              <w:rPr>
                <w:rFonts w:ascii="Arial" w:cs="Arial" w:eastAsia="Arial" w:hAnsi="Arial"/>
                <w:sz w:val="21"/>
                <w:szCs w:val="21"/>
              </w:rPr>
              <w:t xml:space="preserve">【恒常的（1年超）】: demand_forecast と capacity_plan を同時改訂。設備投資判断へ。</w:t>
            </w:r>
          </w:p>
        </w:tc>
      </w:tr>
      <w:tr>
        <w:tc>
          <w:tcPr>
            <w:tcW w:type="dxa" w:w="9026"/>
            <w:tcBorders>
              <w:top w:val="single" w:color="CCCCCC" w:sz="1"/>
              <w:left w:val="single" w:color="CCCCCC" w:sz="1"/>
              <w:bottom w:val="single" w:color="CCCCCC" w:sz="1"/>
              <w:right w:val="single" w:color="CCCCCC" w:sz="1"/>
            </w:tcBorders>
            <w:shd w:fill="D6E4F0" w:val="clear"/>
            <w:tcMar>
              <w:top w:type="dxa" w:w="60"/>
              <w:left w:type="dxa" w:w="200"/>
              <w:bottom w:type="dxa" w:w="60"/>
              <w:right w:type="dxa" w:w="160"/>
            </w:tcMar>
          </w:tcPr>
          <w:p>
            <w:r>
              <w:rPr>
                <w:rFonts w:ascii="Arial" w:cs="Arial" w:eastAsia="Arial" w:hAnsi="Arial"/>
                <w:sz w:val="21"/>
                <w:szCs w:val="21"/>
              </w:rPr>
              <w:t xml:space="preserve">&gt;&gt; WOM では3パターンを別々のシナリオとして保存し感応度を並べて比較することを推奨。</w:t>
            </w:r>
          </w:p>
        </w:tc>
      </w:tr>
    </w:tbl>
    <w:p>
      <w:pPr>
        <w:spacing w:after="0" w:before="120"/>
      </w:pPr>
      <w:r>
        <w:rPr>
          <w:rFonts w:ascii="Arial" w:cs="Arial" w:eastAsia="Arial" w:hAnsi="Arial"/>
        </w:rPr>
        <w:t xml:space="preserve"/>
      </w:r>
    </w:p>
    <w:p>
      <w:pPr>
        <w:pStyle w:val="Heading3"/>
        <w:pBdr>
          <w:bottom w:val="single" w:color="2E75B6" w:sz="4"/>
        </w:pBdr>
        <w:spacing w:after="80" w:before="200"/>
      </w:pPr>
      <w:r>
        <w:rPr>
          <w:rFonts w:ascii="Arial" w:cs="Arial" w:eastAsia="Arial" w:hAnsi="Arial"/>
          <w:b/>
          <w:bCs/>
          <w:color w:val="1F3864"/>
          <w:sz w:val="24"/>
          <w:szCs w:val="24"/>
        </w:rPr>
        <w:t xml:space="preserve">需要急減時の対応オプション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価格対抗</w:t>
            </w:r>
          </w:p>
        </w:tc>
        <w:tc>
          <w:tcPr>
            <w:tcW w:type="dxa" w:w="6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market_price を引き下げ &gt;&gt; PPC タブで Margin 変化を確認。損益分岐点を下回るなら採算割れ。</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静観</w:t>
            </w:r>
          </w:p>
        </w:tc>
        <w:tc>
          <w:tcPr>
            <w:tcW w:type="dxa" w:w="6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在庫バッファで吸収し価格を維持。ブランド毀損を防ぐ。在庫滞留率に注意。</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他地域転送</w:t>
            </w:r>
          </w:p>
        </w:tc>
        <w:tc>
          <w:tcPr>
            <w:tcW w:type="dxa" w:w="6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余剰供給を需要旺盛な地域へ振り替え。lane_assignment と edge_cost_master を更新して再実行。</w:t>
            </w:r>
          </w:p>
        </w:tc>
      </w:tr>
    </w:tbl>
    <w:p>
      <w:r>
        <w:br w:type="page"/>
      </w:r>
    </w:p>
    <w:p>
      <w:pPr>
        <w:pStyle w:val="Heading1"/>
        <w:shd w:fill="1F3864" w:val="clear"/>
        <w:spacing w:after="120" w:before="360"/>
        <w:ind w:left="120"/>
      </w:pPr>
      <w:r>
        <w:rPr>
          <w:rFonts w:ascii="Arial" w:cs="Arial" w:eastAsia="Arial" w:hAnsi="Arial"/>
          <w:b/>
          <w:bCs/>
          <w:color w:val="FFFFFF"/>
          <w:sz w:val="36"/>
          <w:szCs w:val="36"/>
        </w:rPr>
        <w:t xml:space="preserve">Appendix: 各画面の読み方リファレンス</w:t>
      </w:r>
    </w:p>
    <w:p>
      <w:pPr>
        <w:spacing w:after="0" w:before="120"/>
      </w:pPr>
      <w:r>
        <w:rPr>
          <w:rFonts w:ascii="Arial" w:cs="Arial" w:eastAsia="Arial" w:hAnsi="Arial"/>
        </w:rPr>
        <w:t xml:space="preserve"/>
      </w:r>
    </w:p>
    <w:p>
      <w:pPr>
        <w:pStyle w:val="Heading2"/>
        <w:shd w:fill="2E75B6" w:val="clear"/>
        <w:spacing w:after="80" w:before="280"/>
        <w:ind w:left="120"/>
      </w:pPr>
      <w:r>
        <w:rPr>
          <w:rFonts w:ascii="Arial" w:cs="Arial" w:eastAsia="Arial" w:hAnsi="Arial"/>
          <w:b/>
          <w:bCs/>
          <w:color w:val="FFFFFF"/>
          <w:sz w:val="28"/>
          <w:szCs w:val="28"/>
        </w:rPr>
        <w:t xml:space="preserve">A. 左パネル：設定コントロール</w:t>
      </w:r>
    </w:p>
    <w:p>
      <w:pPr>
        <w:spacing w:after="0" w:before="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Safety Stock (wks)</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安全在庫週数。デフォルト 2.0 週。高いほど欠品リスク減、在庫コスト増。</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Lead Time (wks)</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製造リードタイム。デフォルト 4 週。</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Capacity Constrained</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チェックON：設備能力制約を有効化。OFFにすると能力無限大モード。</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Load Model Folder</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入力CSVフォルダを選択（例：rice-japan-2027-2028/）。</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SC Tree Master</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サプライチェーンツリー構造の定義ファイル（sc_tree_master.csv）。</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Scenarios</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Base / Upside / Downside の需要倍率・供給倍率を設定。</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Run Simulation</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シミュレーション（PSI計算のみ）を実行。</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Run Planning Engine</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フル計画実行（PSI + Strategic KPI + PPC 連携）。</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Plugins</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収穫バッチ生産 / 需要スムージング / 能力オーバーライドのON/OFF。</w:t>
            </w:r>
          </w:p>
        </w:tc>
      </w:tr>
    </w:tbl>
    <w:p>
      <w:pPr>
        <w:spacing w:after="0" w:before="200"/>
      </w:pPr>
      <w:r>
        <w:rPr>
          <w:rFonts w:ascii="Arial" w:cs="Arial" w:eastAsia="Arial" w:hAnsi="Arial"/>
        </w:rPr>
        <w:t xml:space="preserve"/>
      </w:r>
    </w:p>
    <w:p>
      <w:pPr>
        <w:pStyle w:val="Heading2"/>
        <w:shd w:fill="2E75B6" w:val="clear"/>
        <w:spacing w:after="80" w:before="280"/>
        <w:ind w:left="120"/>
      </w:pPr>
      <w:r>
        <w:rPr>
          <w:rFonts w:ascii="Arial" w:cs="Arial" w:eastAsia="Arial" w:hAnsi="Arial"/>
          <w:b/>
          <w:bCs/>
          <w:color w:val="FFFFFF"/>
          <w:sz w:val="28"/>
          <w:szCs w:val="28"/>
        </w:rPr>
        <w:t xml:space="preserve">B. Network タブ：SCネットワーク可視化</w:t>
      </w:r>
    </w:p>
    <w:p>
      <w:pPr>
        <w:spacing w:after="0" w:before="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ノードの色</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黄=Supply Point / 青=MOM（生産）/ 紫=Leaf-Out（市場）/ 緑=DAD（DC）</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ノードをクリック</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右パネルに選択ノードの PSI チャートを表示</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PSI Chart（右上）</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緑=生産入荷(P) / 青=販売出荷(S) / 橙=在庫(I)の週次推移</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Cost/Revenue（右下）</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オレンジ=Revenue / 赤=COGS / 緑=Gross Profit の週次推移</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アニメーション（下部）</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で計画期間全156週を週次アニメーション再生</w:t>
            </w:r>
          </w:p>
        </w:tc>
      </w:tr>
    </w:tbl>
    <w:p>
      <w:pPr>
        <w:spacing w:after="0" w:before="200"/>
      </w:pPr>
      <w:r>
        <w:rPr>
          <w:rFonts w:ascii="Arial" w:cs="Arial" w:eastAsia="Arial" w:hAnsi="Arial"/>
        </w:rPr>
        <w:t xml:space="preserve"/>
      </w:r>
    </w:p>
    <w:p>
      <w:pPr>
        <w:pStyle w:val="Heading2"/>
        <w:shd w:fill="2E75B6" w:val="clear"/>
        <w:spacing w:after="80" w:before="280"/>
        <w:ind w:left="120"/>
      </w:pPr>
      <w:r>
        <w:rPr>
          <w:rFonts w:ascii="Arial" w:cs="Arial" w:eastAsia="Arial" w:hAnsi="Arial"/>
          <w:b/>
          <w:bCs/>
          <w:color w:val="FFFFFF"/>
          <w:sz w:val="28"/>
          <w:szCs w:val="28"/>
        </w:rPr>
        <w:t xml:space="preserve">C. PPC タブ：財務KPI リファレンス</w:t>
      </w:r>
    </w:p>
    <w:p>
      <w:pPr>
        <w:spacing w:after="0" w:before="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PPC KPI Summary（左）</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Revenue / Total Cost / Gross Profit / Gross Margin / Tariff Cost</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OK No trust events（緑バッジ）</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仕入コスト積み上げと市場価格バックキャストが整合。不整合時はTrustイベント数を表示。</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Profit Zone Breakdown（右上）</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サプライヤー / 精米（MOM）/ 物流（DAD/Op）/ チャネルの収支分解</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Revenue Trend（右上）</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JP Channel（青）とJP+US合計（紫）の月次収益推移</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Lot Gross Margin by Channel（下）</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チャネル別の Gross Margin 分布（箱ひげ図）</w:t>
            </w:r>
          </w:p>
        </w:tc>
      </w:tr>
    </w:tbl>
    <w:p>
      <w:pPr>
        <w:spacing w:after="0" w:before="200"/>
      </w:pPr>
      <w:r>
        <w:rPr>
          <w:rFonts w:ascii="Arial" w:cs="Arial" w:eastAsia="Arial" w:hAnsi="Arial"/>
        </w:rPr>
        <w:t xml:space="preserve"/>
      </w:r>
    </w:p>
    <w:p>
      <w:pPr>
        <w:pStyle w:val="Heading2"/>
        <w:shd w:fill="2E75B6" w:val="clear"/>
        <w:spacing w:after="80" w:before="280"/>
        <w:ind w:left="120"/>
      </w:pPr>
      <w:r>
        <w:rPr>
          <w:rFonts w:ascii="Arial" w:cs="Arial" w:eastAsia="Arial" w:hAnsi="Arial"/>
          <w:b/>
          <w:bCs/>
          <w:color w:val="FFFFFF"/>
          <w:sz w:val="28"/>
          <w:szCs w:val="28"/>
        </w:rPr>
        <w:t xml:space="preserve">D. マスターCSV ファイル一覧</w:t>
      </w:r>
    </w:p>
    <w:p>
      <w:pPr>
        <w:spacing w:after="0" w:before="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demand_forecast.csv</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週次需要予測。sku_id / region / week / demand 列。需要シナリオ変更の主要ファイル。</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capacity_plan.csv</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ノード別週次生産能力。node_id / sku_id / week / hard_cap / soft_cap。</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sc_tree_master.csv</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サプライチェーンツリー構造定義。ノード間親子関係とLT。</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edge_cost_master.csv</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エッジ（輸送路）コスト定義。from / to / cost / currency。</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lane_assignment.csv</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出荷レーン割り当て。どのノードからどのルートで輸送するか。</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ppc_market_price.csv</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チャネル別・SKU別・週次の市場価格マスター（PPC エンジン用）。</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ppc_supplier_cost.csv</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仕入先別・SKU別・週次の仕入単価マスター（PPC エンジン用）。</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ppc_node_cost_rule.csv</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各ノードの加工費・在庫費ルール（PPC エンジン用）。</w:t>
            </w:r>
          </w:p>
        </w:tc>
      </w:tr>
    </w:tbl>
    <w:p>
      <w:pPr>
        <w:spacing w:after="0" w:before="200"/>
      </w:pPr>
      <w:r>
        <w:rPr>
          <w:rFonts w:ascii="Arial" w:cs="Arial" w:eastAsia="Arial" w:hAnsi="Arial"/>
        </w:rPr>
        <w:t xml:space="preserve"/>
      </w:r>
    </w:p>
    <w:p>
      <w:pPr>
        <w:pStyle w:val="Heading2"/>
        <w:shd w:fill="2E75B6" w:val="clear"/>
        <w:spacing w:after="80" w:before="280"/>
        <w:ind w:left="120"/>
      </w:pPr>
      <w:r>
        <w:rPr>
          <w:rFonts w:ascii="Arial" w:cs="Arial" w:eastAsia="Arial" w:hAnsi="Arial"/>
          <w:b/>
          <w:bCs/>
          <w:color w:val="FFFFFF"/>
          <w:sz w:val="28"/>
          <w:szCs w:val="28"/>
        </w:rPr>
        <w:t xml:space="preserve">E. 意思決定フロー サマリー</w:t>
      </w:r>
    </w:p>
    <w:p>
      <w:pPr>
        <w:spacing w:after="0" w:before="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CEO/COO/CFO 意思決定フロー（WOM ガイド）</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200"/>
              <w:bottom w:type="dxa" w:w="60"/>
              <w:right w:type="dxa" w:w="160"/>
            </w:tcMar>
          </w:tcPr>
          <w:p>
            <w:r>
              <w:rPr>
                <w:rFonts w:ascii="Arial" w:cs="Arial" w:eastAsia="Arial" w:hAnsi="Arial"/>
                <w:sz w:val="21"/>
                <w:szCs w:val="21"/>
              </w:rPr>
              <w:t xml:space="preserve">1. Charts タブで需要トレンドを確認</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200"/>
              <w:bottom w:type="dxa" w:w="60"/>
              <w:right w:type="dxa" w:w="160"/>
            </w:tcMar>
          </w:tcPr>
          <w:p>
            <w:r>
              <w:rPr>
                <w:rFonts w:ascii="Arial" w:cs="Arial" w:eastAsia="Arial" w:hAnsi="Arial"/>
                <w:sz w:val="21"/>
                <w:szCs w:val="21"/>
              </w:rPr>
              <w:t xml:space="preserve">   &gt;&gt; 成長市場か? 季節性は? 前年比増減は?</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200"/>
              <w:bottom w:type="dxa" w:w="60"/>
              <w:right w:type="dxa" w:w="160"/>
            </w:tcMar>
          </w:tcPr>
          <w:p>
            <w:r>
              <w:rPr>
                <w:rFonts w:ascii="Arial" w:cs="Arial" w:eastAsia="Arial" w:hAnsi="Arial"/>
                <w:sz w:val="21"/>
                <w:szCs w:val="21"/>
              </w:rPr>
              <w:t xml:space="preserve"/>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200"/>
              <w:bottom w:type="dxa" w:w="60"/>
              <w:right w:type="dxa" w:w="160"/>
            </w:tcMar>
          </w:tcPr>
          <w:p>
            <w:r>
              <w:rPr>
                <w:rFonts w:ascii="Arial" w:cs="Arial" w:eastAsia="Arial" w:hAnsi="Arial"/>
                <w:sz w:val="21"/>
                <w:szCs w:val="21"/>
              </w:rPr>
              <w:t xml:space="preserve">2. At-Risk SKUs で需給バランスを確認</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200"/>
              <w:bottom w:type="dxa" w:w="60"/>
              <w:right w:type="dxa" w:w="160"/>
            </w:tcMar>
          </w:tcPr>
          <w:p>
            <w:r>
              <w:rPr>
                <w:rFonts w:ascii="Arial" w:cs="Arial" w:eastAsia="Arial" w:hAnsi="Arial"/>
                <w:sz w:val="21"/>
                <w:szCs w:val="21"/>
              </w:rPr>
              <w:t xml:space="preserve">   &gt;&gt; 欠品あり &gt;&gt; シナリオ 2.1（供給逼迫）へ</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200"/>
              <w:bottom w:type="dxa" w:w="60"/>
              <w:right w:type="dxa" w:w="160"/>
            </w:tcMar>
          </w:tcPr>
          <w:p>
            <w:r>
              <w:rPr>
                <w:rFonts w:ascii="Arial" w:cs="Arial" w:eastAsia="Arial" w:hAnsi="Arial"/>
                <w:sz w:val="21"/>
                <w:szCs w:val="21"/>
              </w:rPr>
              <w:t xml:space="preserve">   &gt;&gt; 欠品なし &gt;&gt; 3 へ</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200"/>
              <w:bottom w:type="dxa" w:w="60"/>
              <w:right w:type="dxa" w:w="160"/>
            </w:tcMar>
          </w:tcPr>
          <w:p>
            <w:r>
              <w:rPr>
                <w:rFonts w:ascii="Arial" w:cs="Arial" w:eastAsia="Arial" w:hAnsi="Arial"/>
                <w:sz w:val="21"/>
                <w:szCs w:val="21"/>
              </w:rPr>
              <w:t xml:space="preserve"/>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200"/>
              <w:bottom w:type="dxa" w:w="60"/>
              <w:right w:type="dxa" w:w="160"/>
            </w:tcMar>
          </w:tcPr>
          <w:p>
            <w:r>
              <w:rPr>
                <w:rFonts w:ascii="Arial" w:cs="Arial" w:eastAsia="Arial" w:hAnsi="Arial"/>
                <w:sz w:val="21"/>
                <w:szCs w:val="21"/>
              </w:rPr>
              <w:t xml:space="preserve">3. Management タブで Strategic 5 KPI を評価</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200"/>
              <w:bottom w:type="dxa" w:w="60"/>
              <w:right w:type="dxa" w:w="160"/>
            </w:tcMar>
          </w:tcPr>
          <w:p>
            <w:r>
              <w:rPr>
                <w:rFonts w:ascii="Arial" w:cs="Arial" w:eastAsia="Arial" w:hAnsi="Arial"/>
                <w:sz w:val="21"/>
                <w:szCs w:val="21"/>
              </w:rPr>
              <w:t xml:space="preserve">   &gt;&gt; 固定費吸収率 ISSUE &gt;&gt; シナリオ 2.3（平準化）または設備投資検討</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200"/>
              <w:bottom w:type="dxa" w:w="60"/>
              <w:right w:type="dxa" w:w="160"/>
            </w:tcMar>
          </w:tcPr>
          <w:p>
            <w:r>
              <w:rPr>
                <w:rFonts w:ascii="Arial" w:cs="Arial" w:eastAsia="Arial" w:hAnsi="Arial"/>
                <w:sz w:val="21"/>
                <w:szCs w:val="21"/>
              </w:rPr>
              <w:t xml:space="preserve">   &gt;&gt; 需要充足率 ISSUE &gt;&gt; 緊急供給対応（Part 3）</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200"/>
              <w:bottom w:type="dxa" w:w="60"/>
              <w:right w:type="dxa" w:w="160"/>
            </w:tcMar>
          </w:tcPr>
          <w:p>
            <w:r>
              <w:rPr>
                <w:rFonts w:ascii="Arial" w:cs="Arial" w:eastAsia="Arial" w:hAnsi="Arial"/>
                <w:sz w:val="21"/>
                <w:szCs w:val="21"/>
              </w:rPr>
              <w:t xml:space="preserve">   &gt;&gt; 全 OK &gt;&gt; PPC タブで利益構造を確認</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200"/>
              <w:bottom w:type="dxa" w:w="60"/>
              <w:right w:type="dxa" w:w="160"/>
            </w:tcMar>
          </w:tcPr>
          <w:p>
            <w:r>
              <w:rPr>
                <w:rFonts w:ascii="Arial" w:cs="Arial" w:eastAsia="Arial" w:hAnsi="Arial"/>
                <w:sz w:val="21"/>
                <w:szCs w:val="21"/>
              </w:rPr>
              <w:t xml:space="preserve"/>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200"/>
              <w:bottom w:type="dxa" w:w="60"/>
              <w:right w:type="dxa" w:w="160"/>
            </w:tcMar>
          </w:tcPr>
          <w:p>
            <w:r>
              <w:rPr>
                <w:rFonts w:ascii="Arial" w:cs="Arial" w:eastAsia="Arial" w:hAnsi="Arial"/>
                <w:sz w:val="21"/>
                <w:szCs w:val="21"/>
              </w:rPr>
              <w:t xml:space="preserve">4. PPC タブで Gross Margin・Profit Zone を評価</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200"/>
              <w:bottom w:type="dxa" w:w="60"/>
              <w:right w:type="dxa" w:w="160"/>
            </w:tcMar>
          </w:tcPr>
          <w:p>
            <w:r>
              <w:rPr>
                <w:rFonts w:ascii="Arial" w:cs="Arial" w:eastAsia="Arial" w:hAnsi="Arial"/>
                <w:sz w:val="21"/>
                <w:szCs w:val="21"/>
              </w:rPr>
              <w:t xml:space="preserve">   &gt;&gt; Margin が目標以下 &gt;&gt; コスト削減 or 価格改定</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200"/>
              <w:bottom w:type="dxa" w:w="60"/>
              <w:right w:type="dxa" w:w="160"/>
            </w:tcMar>
          </w:tcPr>
          <w:p>
            <w:r>
              <w:rPr>
                <w:rFonts w:ascii="Arial" w:cs="Arial" w:eastAsia="Arial" w:hAnsi="Arial"/>
                <w:sz w:val="21"/>
                <w:szCs w:val="21"/>
              </w:rPr>
              <w:t xml:space="preserve">   &gt;&gt; Margin OK &gt;&gt; シナリオ比較で感応度確認</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200"/>
              <w:bottom w:type="dxa" w:w="60"/>
              <w:right w:type="dxa" w:w="160"/>
            </w:tcMar>
          </w:tcPr>
          <w:p>
            <w:r>
              <w:rPr>
                <w:rFonts w:ascii="Arial" w:cs="Arial" w:eastAsia="Arial" w:hAnsi="Arial"/>
                <w:sz w:val="21"/>
                <w:szCs w:val="21"/>
              </w:rPr>
              <w:t xml:space="preserve"/>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200"/>
              <w:bottom w:type="dxa" w:w="60"/>
              <w:right w:type="dxa" w:w="160"/>
            </w:tcMar>
          </w:tcPr>
          <w:p>
            <w:r>
              <w:rPr>
                <w:rFonts w:ascii="Arial" w:cs="Arial" w:eastAsia="Arial" w:hAnsi="Arial"/>
                <w:sz w:val="21"/>
                <w:szCs w:val="21"/>
              </w:rPr>
              <w:t xml:space="preserve">5. シナリオ比較（Upside / Downside / Landed Cost）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200"/>
              <w:bottom w:type="dxa" w:w="60"/>
              <w:right w:type="dxa" w:w="160"/>
            </w:tcMar>
          </w:tcPr>
          <w:p>
            <w:r>
              <w:rPr>
                <w:rFonts w:ascii="Arial" w:cs="Arial" w:eastAsia="Arial" w:hAnsi="Arial"/>
                <w:sz w:val="21"/>
                <w:szCs w:val="21"/>
              </w:rPr>
              <w:t xml:space="preserve">   &gt;&gt; 許容範囲を超えるシナリオ &gt;&gt; Action TODO をリストアップ</w:t>
            </w:r>
          </w:p>
        </w:tc>
      </w:tr>
    </w:tbl>
    <w:p>
      <w:pPr>
        <w:spacing w:after="0" w:before="120"/>
      </w:pPr>
      <w:r>
        <w:rPr>
          <w:rFonts w:ascii="Arial" w:cs="Arial" w:eastAsia="Arial" w:hAnsi="Arial"/>
        </w:rPr>
        <w:t xml:space="preserve"/>
      </w:r>
    </w:p>
    <w:p>
      <w:pPr>
        <w:spacing w:after="60" w:before="60"/>
      </w:pPr>
      <w:r>
        <w:rPr>
          <w:rFonts w:ascii="Arial" w:cs="Arial" w:eastAsia="Arial" w:hAnsi="Arial"/>
          <w:b/>
          <w:bCs/>
          <w:color w:val="1F3864"/>
          <w:sz w:val="22"/>
          <w:szCs w:val="22"/>
        </w:rPr>
        <w:t xml:space="preserve">WOM v1r0m0 </w:t>
      </w:r>
      <w:r>
        <w:rPr>
          <w:rFonts w:ascii="Arial" w:cs="Arial" w:eastAsia="Arial" w:hAnsi="Arial"/>
          <w:sz w:val="22"/>
          <w:szCs w:val="22"/>
        </w:rPr>
        <w:t xml:space="preserve">は継続的に機能拡張される予定です。本ガイドは機能追加に合わせて更新されます。</w:t>
      </w:r>
    </w:p>
    <w:p>
      <w:pPr>
        <w:spacing w:after="0" w:before="80"/>
      </w:pPr>
      <w:r>
        <w:rPr>
          <w:rFonts w:ascii="Arial" w:cs="Arial" w:eastAsia="Arial" w:hAnsi="Arial"/>
        </w:rPr>
        <w:t xml:space="preserve"/>
      </w:r>
    </w:p>
    <w:p>
      <w:pPr>
        <w:spacing w:after="60" w:before="60"/>
      </w:pPr>
      <w:r>
        <w:rPr>
          <w:rFonts w:ascii="Arial" w:cs="Arial" w:eastAsia="Arial" w:hAnsi="Arial"/>
          <w:color w:val="595959"/>
          <w:sz w:val="20"/>
          <w:szCs w:val="20"/>
        </w:rPr>
        <w:t xml:space="preserve">お問い合わせ：WOM開発チーム（GitHub: Yasushi-Osugi/wom_v1r0m0）</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after="0" w:before="80"/>
      <w:jc w:val="right"/>
    </w:pPr>
    <w:r>
      <w:rPr>
        <w:rFonts w:ascii="Arial" w:cs="Arial" w:eastAsia="Arial" w:hAnsi="Arial"/>
        <w:color w:val="595959"/>
        <w:sz w:val="16"/>
        <w:szCs w:val="16"/>
      </w:rPr>
      <w:t xml:space="preserve">(c) 2026 WOM v1r0m0  Confidential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80" w:before="0"/>
    </w:pPr>
    <w:r>
      <w:rPr>
        <w:rFonts w:ascii="Arial" w:cs="Arial" w:eastAsia="Arial" w:hAnsi="Arial"/>
        <w:b/>
        <w:bCs/>
        <w:color w:val="595959"/>
        <w:sz w:val="18"/>
        <w:szCs w:val="18"/>
      </w:rPr>
      <w:t xml:space="preserve">WOM 経営者操作ガイド  v1r0m0</w:t>
    </w:r>
    <w:r>
      <w:rPr>
        <w:rFonts w:ascii="Arial" w:cs="Arial" w:eastAsia="Arial" w:hAnsi="Arial"/>
        <w:color w:val="595959"/>
        <w:sz w:val="18"/>
        <w:szCs w:val="18"/>
      </w:rPr>
      <w:t xml:space="preserve">      Weekly Operation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100" w:hanging="320"/>
      </w:pPr>
    </w:lvl>
  </w:abstractNum>
  <w:abstractNum w:abstractNumId="3" w15:restartNumberingAfterBreak="0">
    <w:multiLevelType w:val="hybridMultilevel"/>
    <w:lvl w:ilvl="0" w15:tentative="1">
      <w:start w:val="1"/>
      <w:numFmt w:val="decimal"/>
      <w:lvlText w:val="%1."/>
      <w:lvlJc w:val="left"/>
      <w:pPr>
        <w:ind w:left="640" w:hanging="320"/>
      </w:pPr>
    </w:lvl>
    <w:lvl w:ilvl="1" w15:tentative="1">
      <w:start w:val="1"/>
      <w:numFmt w:val="decimal"/>
      <w:lvlText w:val="%2."/>
      <w:lvlJc w:val="left"/>
      <w:pPr>
        <w:ind w:left="11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80" w:before="280"/>
      <w:outlineLvl w:val="1"/>
    </w:pPr>
    <w:rPr>
      <w:rFonts w:ascii="Arial" w:cs="Arial" w:eastAsia="Arial" w:hAnsi="Arial"/>
      <w:b/>
      <w:bCs/>
      <w:color w:val="FFFFF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2026-06-12T12:12:45.375Z</dcterms:created>
  <dcterms:modified xsi:type="dcterms:W3CDTF">2026-06-12T12:12:45.384Z</dcterms:modified>
</cp:coreProperties>
</file>

<file path=docProps/custom.xml><?xml version="1.0" encoding="utf-8"?>
<Properties xmlns="http://schemas.openxmlformats.org/officeDocument/2006/custom-properties" xmlns:vt="http://schemas.openxmlformats.org/officeDocument/2006/docPropsVTypes"/>
</file>