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60"/>
        <w:jc w:val="left"/>
      </w:pPr>
      <w:r>
        <w:rPr>
          <w:b/>
          <w:bCs/>
          <w:color w:val="182127"/>
          <w:sz w:val="40"/>
          <w:szCs w:val="40"/>
        </w:rPr>
        <w:t xml:space="preserve">Data</w:t>
      </w:r>
      <w:r>
        <w:rPr>
          <w:b/>
          <w:bCs/>
          <w:color w:val="FC7900"/>
          <w:sz w:val="40"/>
          <w:szCs w:val="40"/>
        </w:rPr>
        <w:t xml:space="preserve">FactZ</w:t>
      </w:r>
    </w:p>
    <w:p>
      <w:pPr>
        <w:spacing w:after="900"/>
      </w:pPr>
      <w:r>
        <w:rPr>
          <w:i/>
          <w:iCs/>
          <w:color w:val="5B6B7B"/>
          <w:sz w:val="20"/>
          <w:szCs w:val="20"/>
        </w:rPr>
        <w:t xml:space="preserve">An AI-first company with a client-first approach</w:t>
      </w:r>
    </w:p>
    <w:p>
      <w:pPr>
        <w:spacing w:after="200" w:line="276"/>
      </w:pPr>
      <w:r>
        <w:rPr>
          <w:b/>
          <w:bCs/>
          <w:color w:val="182127"/>
          <w:sz w:val="52"/>
          <w:szCs w:val="52"/>
        </w:rPr>
        <w:t xml:space="preserve">AI Engineering Internship Program</w:t>
      </w:r>
    </w:p>
    <w:p>
      <w:pPr>
        <w:pBdr>
          <w:bottom w:val="single" w:color="FC7900" w:sz="18" w:space="10"/>
        </w:pBdr>
        <w:spacing w:after="1400"/>
      </w:pPr>
      <w:r>
        <w:rPr>
          <w:color w:val="FC7900"/>
          <w:sz w:val="28"/>
          <w:szCs w:val="28"/>
        </w:rPr>
        <w:t xml:space="preserve">5-Week Training &amp; Assessment Handbook</w:t>
      </w:r>
    </w:p>
    <w:p>
      <w:pPr>
        <w:spacing w:after="60"/>
      </w:pPr>
      <w:r>
        <w:rPr>
          <w:b/>
          <w:bCs/>
          <w:color w:val="182127"/>
          <w:sz w:val="20"/>
          <w:szCs w:val="20"/>
        </w:rPr>
        <w:t xml:space="preserve">Version   </w:t>
      </w:r>
      <w:r>
        <w:rPr>
          <w:color w:val="5B6B7B"/>
          <w:sz w:val="20"/>
          <w:szCs w:val="20"/>
        </w:rPr>
        <w:t xml:space="preserve">1.0 — July 2026</w:t>
      </w:r>
    </w:p>
    <w:p>
      <w:pPr>
        <w:spacing w:after="60"/>
      </w:pPr>
      <w:r>
        <w:rPr>
          <w:b/>
          <w:bCs/>
          <w:color w:val="182127"/>
          <w:sz w:val="20"/>
          <w:szCs w:val="20"/>
        </w:rPr>
        <w:t xml:space="preserve">Owner   </w:t>
      </w:r>
      <w:r>
        <w:rPr>
          <w:color w:val="5B6B7B"/>
          <w:sz w:val="20"/>
          <w:szCs w:val="20"/>
        </w:rPr>
        <w:t xml:space="preserve">Satya Vuddagiri, DataFactZ</w:t>
      </w:r>
    </w:p>
    <w:p>
      <w:pPr>
        <w:spacing w:after="60"/>
      </w:pPr>
      <w:r>
        <w:rPr>
          <w:b/>
          <w:bCs/>
          <w:color w:val="182127"/>
          <w:sz w:val="20"/>
          <w:szCs w:val="20"/>
        </w:rPr>
        <w:t xml:space="preserve">Audience   </w:t>
      </w:r>
      <w:r>
        <w:rPr>
          <w:color w:val="5B6B7B"/>
          <w:sz w:val="20"/>
          <w:szCs w:val="20"/>
        </w:rPr>
        <w:t xml:space="preserve">New intern cohort and DataFactZ employees upskilling or cross-skilling into AI engineering</w:t>
      </w:r>
    </w:p>
    <w:p>
      <w:pPr>
        <w:spacing w:after="60"/>
      </w:pPr>
      <w:r>
        <w:rPr>
          <w:b/>
          <w:bCs/>
          <w:color w:val="182127"/>
          <w:sz w:val="20"/>
          <w:szCs w:val="20"/>
        </w:rPr>
        <w:t xml:space="preserve">Confidentiality   </w:t>
      </w:r>
      <w:r>
        <w:rPr>
          <w:color w:val="5B6B7B"/>
          <w:sz w:val="20"/>
          <w:szCs w:val="20"/>
        </w:rPr>
        <w:t xml:space="preserve">Internal — DataFactZ employees and interns only</w:t>
      </w:r>
    </w:p>
    <w:p>
      <w:r>
        <w:br w:type="page"/>
      </w:r>
    </w:p>
    <w:p>
      <w:pPr>
        <w:pStyle w:val="Heading1"/>
      </w:pPr>
      <w:r>
        <w:t xml:space="preserve">1. Welcome</w:t>
      </w:r>
    </w:p>
    <w:p>
      <w:pPr>
        <w:spacing w:after="140" w:line="300"/>
      </w:pPr>
      <w:r>
        <w:t xml:space="preserve">Welcome to DataFactZ. Over the next five weeks you will design, build, document, and present three production-style AI solutions — end to end, individually — pitch an original enterprise use case of your own, and prepare for the Anthropic Claude Certified Architect (CCA-F) certification. This program is intense by design. It mirrors what real client engagements demand: clear thinking, defensible architecture decisions, polished delivery, and honest communication.</w:t>
      </w:r>
    </w:p>
    <w:p>
      <w:pPr>
        <w:spacing w:after="140" w:line="300"/>
      </w:pPr>
      <w:r>
        <w:t xml:space="preserve">This program has two purposes, and you should understand both from day one:</w:t>
      </w:r>
    </w:p>
    <w:p>
      <w:pPr>
        <w:pStyle w:val="ListParagraph"/>
        <w:numPr>
          <w:ilvl w:val="0"/>
          <w:numId w:val="2"/>
        </w:numPr>
        <w:spacing w:after="80" w:line="280"/>
      </w:pPr>
      <w:r>
        <w:rPr>
          <w:b/>
          <w:bCs/>
          <w:color w:val="182127"/>
        </w:rPr>
        <w:t xml:space="preserve">Training. </w:t>
      </w:r>
      <w:r>
        <w:t xml:space="preserve">You will learn modern AI solution patterns — retrieval-augmented generation, document intelligence, entity resolution, and agentic orchestration — using the tools our clients use.</w:t>
      </w:r>
    </w:p>
    <w:p>
      <w:pPr>
        <w:pStyle w:val="ListParagraph"/>
        <w:numPr>
          <w:ilvl w:val="0"/>
          <w:numId w:val="2"/>
        </w:numPr>
        <w:spacing w:after="80" w:line="280"/>
      </w:pPr>
      <w:r>
        <w:rPr>
          <w:b/>
          <w:bCs/>
          <w:color w:val="182127"/>
        </w:rPr>
        <w:t xml:space="preserve">Assessment. </w:t>
      </w:r>
      <w:r>
        <w:t xml:space="preserve">Your work will be scored each week against a published rubric. The outcome informs whether you are ready for client engagements and is a primary input to full-time conversion decisions.</w:t>
      </w:r>
    </w:p>
    <w:p>
      <w:pPr>
        <w:spacing w:after="140" w:line="300"/>
      </w:pPr>
      <w:r>
        <w:rPr>
          <w:b/>
          <w:bCs/>
          <w:color w:val="182127"/>
        </w:rPr>
        <w:t xml:space="preserve">Who this is for. </w:t>
      </w:r>
      <w:r>
        <w:t xml:space="preserve">This handbook is written for the intern cohort, but the framework applies equally to DataFactZ employees upskilling or cross-skilling into AI engineering. Employees on active projects follow the same assignments, deliverables, and rubric; their timeline is agreed with their manager around project commitments. For interns, assessment feeds conversion decisions; for employees, it feeds staffing readiness for AI engagements.</w:t>
      </w:r>
    </w:p>
    <w:tbl>
      <w:tblPr>
        <w:tblW w:type="dxa" w:w="9880"/>
        <w:tblBorders>
          <w:top w:val="single" w:color="D9E2EC" w:sz="4"/>
          <w:left w:val="single" w:color="FC7900" w:sz="24"/>
          <w:bottom w:val="single" w:color="D9E2EC" w:sz="4"/>
          <w:right w:val="single" w:color="D9E2EC" w:sz="4"/>
          <w:insideH w:val="none"/>
          <w:insideV w:val="none"/>
        </w:tblBorders>
      </w:tblPr>
      <w:tblGrid>
        <w:gridCol w:w="9880"/>
      </w:tblGrid>
      <w:tr>
        <w:tc>
          <w:tcPr>
            <w:tcW w:type="dxa" w:w="9880"/>
            <w:shd w:fill="FFF7EF" w:val="clear"/>
            <w:tcMar>
              <w:top w:type="dxa" w:w="140"/>
              <w:left w:type="dxa" w:w="200"/>
              <w:bottom w:type="dxa" w:w="140"/>
              <w:right w:type="dxa" w:w="200"/>
            </w:tcMar>
          </w:tcPr>
          <w:p>
            <w:pPr>
              <w:spacing w:after="60"/>
            </w:pPr>
            <w:r>
              <w:rPr>
                <w:b/>
                <w:bCs/>
                <w:color w:val="182127"/>
                <w:sz w:val="21"/>
                <w:szCs w:val="21"/>
              </w:rPr>
              <w:t xml:space="preserve">What we are really evaluating</w:t>
            </w:r>
          </w:p>
          <w:p>
            <w:pPr>
              <w:spacing w:after="0" w:line="280"/>
            </w:pPr>
            <w:r>
              <w:rPr>
                <w:sz w:val="21"/>
                <w:szCs w:val="21"/>
              </w:rPr>
              <w:t xml:space="preserve">Anyone can generate code with AI assistance in 2026. What separates a consultant from a code generator is the quality of thinking: why you chose an architecture, what you rejected and why, whether your documentation can be handed to a client, whether your UI looks like a product, and whether you can defend every line you ship. Attention to detail is weighted heavily — a beautiful demo with a typo-filled design doc will score lower than you expect.</w:t>
            </w:r>
          </w:p>
        </w:tc>
      </w:tr>
    </w:tbl>
    <w:p>
      <w:pPr>
        <w:pStyle w:val="Heading1"/>
      </w:pPr>
      <w:r>
        <w:t xml:space="preserve">2. Program at a Glance</w:t>
      </w:r>
    </w:p>
    <w:tbl>
      <w:tblPr>
        <w:tblW w:type="dxa" w:w="9880"/>
        <w:tblBorders>
          <w:top w:val="single" w:color="D9E2EC" w:sz="4"/>
          <w:left w:val="single" w:color="D9E2EC" w:sz="4"/>
          <w:bottom w:val="single" w:color="D9E2EC" w:sz="4"/>
          <w:right w:val="single" w:color="D9E2EC" w:sz="4"/>
          <w:insideH w:val="single" w:color="D9E2EC" w:sz="4"/>
          <w:insideV w:val="single" w:color="D9E2EC" w:sz="4"/>
        </w:tblBorders>
      </w:tblPr>
      <w:tblGrid>
        <w:gridCol w:w="1750"/>
        <w:gridCol w:w="4130"/>
        <w:gridCol w:w="4000"/>
      </w:tblGrid>
      <w:tr>
        <w:trPr>
          <w:tblHeader/>
        </w:trPr>
        <w:tc>
          <w:tcPr>
            <w:tcW w:type="dxa" w:w="1750"/>
            <w:shd w:fill="182127" w:val="clear"/>
            <w:tcMar>
              <w:top w:type="dxa" w:w="90"/>
              <w:left w:type="dxa" w:w="140"/>
              <w:bottom w:type="dxa" w:w="90"/>
              <w:right w:type="dxa" w:w="140"/>
            </w:tcMar>
            <w:vAlign w:val="center"/>
          </w:tcPr>
          <w:p>
            <w:pPr>
              <w:spacing w:after="0" w:line="260"/>
            </w:pPr>
            <w:r>
              <w:rPr>
                <w:b/>
                <w:bCs/>
                <w:color w:val="FFFFFF"/>
                <w:sz w:val="20"/>
                <w:szCs w:val="20"/>
              </w:rPr>
              <w:t xml:space="preserve">When</w:t>
            </w:r>
          </w:p>
        </w:tc>
        <w:tc>
          <w:tcPr>
            <w:tcW w:type="dxa" w:w="4130"/>
            <w:shd w:fill="182127" w:val="clear"/>
            <w:tcMar>
              <w:top w:type="dxa" w:w="90"/>
              <w:left w:type="dxa" w:w="140"/>
              <w:bottom w:type="dxa" w:w="90"/>
              <w:right w:type="dxa" w:w="140"/>
            </w:tcMar>
            <w:vAlign w:val="center"/>
          </w:tcPr>
          <w:p>
            <w:pPr>
              <w:spacing w:after="0" w:line="260"/>
            </w:pPr>
            <w:r>
              <w:rPr>
                <w:b/>
                <w:bCs/>
                <w:color w:val="FFFFFF"/>
                <w:sz w:val="20"/>
                <w:szCs w:val="20"/>
              </w:rPr>
              <w:t xml:space="preserve">Focus</w:t>
            </w:r>
          </w:p>
        </w:tc>
        <w:tc>
          <w:tcPr>
            <w:tcW w:type="dxa" w:w="4000"/>
            <w:shd w:fill="182127" w:val="clear"/>
            <w:tcMar>
              <w:top w:type="dxa" w:w="90"/>
              <w:left w:type="dxa" w:w="140"/>
              <w:bottom w:type="dxa" w:w="90"/>
              <w:right w:type="dxa" w:w="140"/>
            </w:tcMar>
            <w:vAlign w:val="center"/>
          </w:tcPr>
          <w:p>
            <w:pPr>
              <w:spacing w:after="0" w:line="260"/>
            </w:pPr>
            <w:r>
              <w:rPr>
                <w:b/>
                <w:bCs/>
                <w:color w:val="FFFFFF"/>
                <w:sz w:val="20"/>
                <w:szCs w:val="20"/>
              </w:rPr>
              <w:t xml:space="preserve">Deliverables due</w:t>
            </w:r>
          </w:p>
        </w:tc>
      </w:tr>
      <w:tr>
        <w:tc>
          <w:tcPr>
            <w:tcW w:type="dxa" w:w="175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Day 1 (Mon)</w:t>
            </w:r>
          </w:p>
        </w:tc>
        <w:tc>
          <w:tcPr>
            <w:tcW w:type="dxa" w:w="413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Onboarding &amp; environment setup</w:t>
            </w:r>
          </w:p>
        </w:tc>
        <w:tc>
          <w:tcPr>
            <w:tcW w:type="dxa" w:w="40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Setup verification checklist + Hello-World app (FastAPI + React) pushed to your GitHub repo by end of day</w:t>
            </w:r>
          </w:p>
        </w:tc>
      </w:tr>
      <w:tr>
        <w:tc>
          <w:tcPr>
            <w:tcW w:type="dxa" w:w="175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1</w:t>
            </w:r>
          </w:p>
        </w:tc>
        <w:tc>
          <w:tcPr>
            <w:tcW w:type="dxa" w:w="413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Use Case 1 — RAG Knowledge Chatbot (Azure stack)</w:t>
            </w:r>
          </w:p>
        </w:tc>
        <w:tc>
          <w:tcPr>
            <w:tcW w:type="dxa" w:w="40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Full deliverable set + Friday demo &amp; status report</w:t>
            </w:r>
          </w:p>
        </w:tc>
      </w:tr>
      <w:tr>
        <w:tc>
          <w:tcPr>
            <w:tcW w:type="dxa" w:w="175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2</w:t>
            </w:r>
          </w:p>
        </w:tc>
        <w:tc>
          <w:tcPr>
            <w:tcW w:type="dxa" w:w="413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Use Case 2 — Unstructured Document Extraction (open-source stack)</w:t>
            </w:r>
          </w:p>
        </w:tc>
        <w:tc>
          <w:tcPr>
            <w:tcW w:type="dxa" w:w="40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Full deliverable set + Friday demo &amp; status report</w:t>
            </w:r>
          </w:p>
        </w:tc>
      </w:tr>
      <w:tr>
        <w:tc>
          <w:tcPr>
            <w:tcW w:type="dxa" w:w="175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3</w:t>
            </w:r>
          </w:p>
        </w:tc>
        <w:tc>
          <w:tcPr>
            <w:tcW w:type="dxa" w:w="413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Use Case 3 — Breach Analytics (your stack, justified): design phase</w:t>
            </w:r>
          </w:p>
        </w:tc>
        <w:tc>
          <w:tcPr>
            <w:tcW w:type="dxa" w:w="40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Solution design package + Friday design review presentation &amp; status report</w:t>
            </w:r>
          </w:p>
        </w:tc>
      </w:tr>
      <w:tr>
        <w:tc>
          <w:tcPr>
            <w:tcW w:type="dxa" w:w="175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4</w:t>
            </w:r>
          </w:p>
        </w:tc>
        <w:tc>
          <w:tcPr>
            <w:tcW w:type="dxa" w:w="413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Use Case 3 — build &amp; capstone demo</w:t>
            </w:r>
          </w:p>
        </w:tc>
        <w:tc>
          <w:tcPr>
            <w:tcW w:type="dxa" w:w="40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Working solution + capstone presentation; innovation idea one-pager due Friday</w:t>
            </w:r>
          </w:p>
        </w:tc>
      </w:tr>
      <w:tr>
        <w:tc>
          <w:tcPr>
            <w:tcW w:type="dxa" w:w="175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5</w:t>
            </w:r>
          </w:p>
        </w:tc>
        <w:tc>
          <w:tcPr>
            <w:tcW w:type="dxa" w:w="413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Innovation Pitch — your own enterprise use case</w:t>
            </w:r>
          </w:p>
        </w:tc>
        <w:tc>
          <w:tcPr>
            <w:tcW w:type="dxa" w:w="40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Pitch deck, business case, high-level architecture + Friday pitch; Final Learning Report due</w:t>
            </w:r>
          </w:p>
        </w:tc>
      </w:tr>
      <w:tr>
        <w:tc>
          <w:tcPr>
            <w:tcW w:type="dxa" w:w="175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Parallel (all 5 weeks)</w:t>
            </w:r>
          </w:p>
        </w:tc>
        <w:tc>
          <w:tcPr>
            <w:tcW w:type="dxa" w:w="413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Claude Certified Architect (CCA-F) preparation</w:t>
            </w:r>
          </w:p>
        </w:tc>
        <w:tc>
          <w:tcPr>
            <w:tcW w:type="dxa" w:w="40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Course progress tracked weekly; exam booked only after 90%+ on practice tests</w:t>
            </w:r>
          </w:p>
        </w:tc>
      </w:tr>
    </w:tbl>
    <w:p>
      <w:pPr>
        <w:spacing w:after="120"/>
      </w:pPr>
    </w:p>
    <w:p>
      <w:pPr>
        <w:spacing w:after="140" w:line="300"/>
      </w:pPr>
      <w:r>
        <w:rPr>
          <w:b/>
          <w:bCs/>
          <w:color w:val="182127"/>
        </w:rPr>
        <w:t xml:space="preserve">Weekly rhythm. </w:t>
      </w:r>
      <w:r>
        <w:t xml:space="preserve">Every Friday: a 10–15 minute live demo and presentation, plus a written status report (template provided) submitted by Thursday 6:00 PM. Every deliverable is scored the following Monday against the rubric in the Scoring Rubric workbook.</w:t>
      </w:r>
    </w:p>
    <w:p>
      <w:pPr>
        <w:pStyle w:val="Heading1"/>
      </w:pPr>
      <w:r>
        <w:t xml:space="preserve">3. Day 1 — Environment Setup</w:t>
      </w:r>
    </w:p>
    <w:p>
      <w:pPr>
        <w:spacing w:after="140" w:line="300"/>
      </w:pPr>
      <w:r>
        <w:t xml:space="preserve">Complete every item below on day one. Your first assessed deliverable is a working Hello-World application pushed to your repository by end of day — this proves your environment works and gives us an early read on your git hygiene.</w:t>
      </w:r>
    </w:p>
    <w:p>
      <w:pPr>
        <w:pStyle w:val="Heading2"/>
      </w:pPr>
      <w:r>
        <w:t xml:space="preserve">3.1 Install and configure</w:t>
      </w:r>
    </w:p>
    <w:p>
      <w:pPr>
        <w:pStyle w:val="ListParagraph"/>
        <w:numPr>
          <w:ilvl w:val="0"/>
          <w:numId w:val="3"/>
        </w:numPr>
        <w:spacing w:after="80" w:line="280"/>
      </w:pPr>
      <w:r>
        <w:rPr>
          <w:b/>
          <w:bCs/>
          <w:color w:val="182127"/>
        </w:rPr>
        <w:t xml:space="preserve">VS Code </w:t>
      </w:r>
      <w:r>
        <w:t xml:space="preserve">with the Python extension, plus whatever else supports your AI/full-stack workflow — for example Pylance, ESLint, Prettier, or GitLens. Your editor setup is your call; a working, productive environment is the requirement.</w:t>
      </w:r>
    </w:p>
    <w:p>
      <w:pPr>
        <w:pStyle w:val="ListParagraph"/>
        <w:numPr>
          <w:ilvl w:val="0"/>
          <w:numId w:val="3"/>
        </w:numPr>
        <w:spacing w:after="80" w:line="280"/>
      </w:pPr>
      <w:r>
        <w:rPr>
          <w:b/>
          <w:bCs/>
          <w:color w:val="182127"/>
        </w:rPr>
        <w:t xml:space="preserve">Claude Code </w:t>
      </w:r>
      <w:r>
        <w:t xml:space="preserve">(CLI) — sign in with your DataFactZ account. You will use it as your primary AI pair-programmer.</w:t>
      </w:r>
    </w:p>
    <w:p>
      <w:pPr>
        <w:pStyle w:val="ListParagraph"/>
        <w:numPr>
          <w:ilvl w:val="0"/>
          <w:numId w:val="3"/>
        </w:numPr>
        <w:spacing w:after="80" w:line="280"/>
      </w:pPr>
      <w:r>
        <w:rPr>
          <w:b/>
          <w:bCs/>
          <w:color w:val="182127"/>
        </w:rPr>
        <w:t xml:space="preserve">Python 3.11+ </w:t>
      </w:r>
      <w:r>
        <w:t xml:space="preserve">with uv or venv for environment management.</w:t>
      </w:r>
    </w:p>
    <w:p>
      <w:pPr>
        <w:pStyle w:val="ListParagraph"/>
        <w:numPr>
          <w:ilvl w:val="0"/>
          <w:numId w:val="3"/>
        </w:numPr>
        <w:spacing w:after="80" w:line="280"/>
      </w:pPr>
      <w:r>
        <w:rPr>
          <w:b/>
          <w:bCs/>
          <w:color w:val="182127"/>
        </w:rPr>
        <w:t xml:space="preserve">Node.js LTS </w:t>
      </w:r>
      <w:r>
        <w:t xml:space="preserve">with npm — for the React frontends.</w:t>
      </w:r>
    </w:p>
    <w:p>
      <w:pPr>
        <w:pStyle w:val="ListParagraph"/>
        <w:numPr>
          <w:ilvl w:val="0"/>
          <w:numId w:val="3"/>
        </w:numPr>
        <w:spacing w:after="80" w:line="280"/>
      </w:pPr>
      <w:r>
        <w:rPr>
          <w:b/>
          <w:bCs/>
          <w:color w:val="182127"/>
        </w:rPr>
        <w:t xml:space="preserve">Git + GitHub </w:t>
      </w:r>
      <w:r>
        <w:t xml:space="preserve">— you will receive a private repository under the DataFactZ GitHub organization. All code lives here. Commit early, commit often; commit history is an assessment signal.</w:t>
      </w:r>
    </w:p>
    <w:p>
      <w:pPr>
        <w:pStyle w:val="ListParagraph"/>
        <w:numPr>
          <w:ilvl w:val="0"/>
          <w:numId w:val="3"/>
        </w:numPr>
        <w:spacing w:after="80" w:line="280"/>
      </w:pPr>
      <w:r>
        <w:rPr>
          <w:b/>
          <w:bCs/>
          <w:color w:val="182127"/>
        </w:rPr>
        <w:t xml:space="preserve">Azure access </w:t>
      </w:r>
      <w:r>
        <w:t xml:space="preserve">— you will be granted access to a shared Resource Group. Tag every resource you create with your name (tag: owner=&lt;yourname&gt;). Never create resources outside this RG.</w:t>
      </w:r>
    </w:p>
    <w:p>
      <w:pPr>
        <w:pStyle w:val="ListParagraph"/>
        <w:numPr>
          <w:ilvl w:val="0"/>
          <w:numId w:val="3"/>
        </w:numPr>
        <w:spacing w:after="80" w:line="280"/>
      </w:pPr>
      <w:r>
        <w:rPr>
          <w:b/>
          <w:bCs/>
          <w:color w:val="182127"/>
        </w:rPr>
        <w:t xml:space="preserve">API keys </w:t>
      </w:r>
      <w:r>
        <w:t xml:space="preserve">— Claude (Anthropic), OpenAI, and DeepSeek keys will be issued to you. Store them in environment variables or .env files. A committed API key is an automatic attention-to-detail deduction — no exceptions.</w:t>
      </w:r>
    </w:p>
    <w:p>
      <w:pPr>
        <w:pStyle w:val="Heading2"/>
      </w:pPr>
      <w:r>
        <w:t xml:space="preserve">3.2 Day 1 deliverable</w:t>
      </w:r>
    </w:p>
    <w:p>
      <w:pPr>
        <w:spacing w:after="140" w:line="300"/>
      </w:pPr>
      <w:r>
        <w:t xml:space="preserve">Build and push a minimal full-stack app: a FastAPI backend with one endpoint that calls an LLM (any provider) and a React frontend that displays the response, styled with DataFactZ brand colors (see Section 7). Include a README with setup instructions. This is a smoke test, not a project — timebox it to the afternoon.</w:t>
      </w:r>
    </w:p>
    <w:p>
      <w:pPr>
        <w:pStyle w:val="Heading1"/>
      </w:pPr>
      <w:r>
        <w:t xml:space="preserve">4. The Three Use Cases and the Innovation Pitch</w:t>
      </w:r>
    </w:p>
    <w:p>
      <w:pPr>
        <w:spacing w:after="140" w:line="300"/>
      </w:pPr>
      <w:r>
        <w:t xml:space="preserve">Each assignment has a detailed brief (separate document) with requirements, constraints, and a deliverable checklist. Summary:</w:t>
      </w:r>
    </w:p>
    <w:tbl>
      <w:tblPr>
        <w:tblW w:type="dxa" w:w="9880"/>
        <w:tblBorders>
          <w:top w:val="single" w:color="D9E2EC" w:sz="4"/>
          <w:left w:val="single" w:color="D9E2EC" w:sz="4"/>
          <w:bottom w:val="single" w:color="D9E2EC" w:sz="4"/>
          <w:right w:val="single" w:color="D9E2EC" w:sz="4"/>
          <w:insideH w:val="single" w:color="D9E2EC" w:sz="4"/>
          <w:insideV w:val="single" w:color="D9E2EC" w:sz="4"/>
        </w:tblBorders>
      </w:tblPr>
      <w:tblGrid>
        <w:gridCol w:w="500"/>
        <w:gridCol w:w="2300"/>
        <w:gridCol w:w="2700"/>
        <w:gridCol w:w="3080"/>
        <w:gridCol w:w="1300"/>
      </w:tblGrid>
      <w:tr>
        <w:trPr>
          <w:tblHeader/>
        </w:trPr>
        <w:tc>
          <w:tcPr>
            <w:tcW w:type="dxa" w:w="500"/>
            <w:shd w:fill="182127" w:val="clear"/>
            <w:tcMar>
              <w:top w:type="dxa" w:w="90"/>
              <w:left w:type="dxa" w:w="140"/>
              <w:bottom w:type="dxa" w:w="90"/>
              <w:right w:type="dxa" w:w="140"/>
            </w:tcMar>
            <w:vAlign w:val="center"/>
          </w:tcPr>
          <w:p>
            <w:pPr>
              <w:spacing w:after="0" w:line="260"/>
            </w:pPr>
            <w:r>
              <w:rPr>
                <w:b/>
                <w:bCs/>
                <w:color w:val="FFFFFF"/>
                <w:sz w:val="20"/>
                <w:szCs w:val="20"/>
              </w:rPr>
              <w:t xml:space="preserve">#</w:t>
            </w:r>
          </w:p>
        </w:tc>
        <w:tc>
          <w:tcPr>
            <w:tcW w:type="dxa" w:w="2300"/>
            <w:shd w:fill="182127" w:val="clear"/>
            <w:tcMar>
              <w:top w:type="dxa" w:w="90"/>
              <w:left w:type="dxa" w:w="140"/>
              <w:bottom w:type="dxa" w:w="90"/>
              <w:right w:type="dxa" w:w="140"/>
            </w:tcMar>
            <w:vAlign w:val="center"/>
          </w:tcPr>
          <w:p>
            <w:pPr>
              <w:spacing w:after="0" w:line="260"/>
            </w:pPr>
            <w:r>
              <w:rPr>
                <w:b/>
                <w:bCs/>
                <w:color w:val="FFFFFF"/>
                <w:sz w:val="20"/>
                <w:szCs w:val="20"/>
              </w:rPr>
              <w:t xml:space="preserve">Use case</w:t>
            </w:r>
          </w:p>
        </w:tc>
        <w:tc>
          <w:tcPr>
            <w:tcW w:type="dxa" w:w="2700"/>
            <w:shd w:fill="182127" w:val="clear"/>
            <w:tcMar>
              <w:top w:type="dxa" w:w="90"/>
              <w:left w:type="dxa" w:w="140"/>
              <w:bottom w:type="dxa" w:w="90"/>
              <w:right w:type="dxa" w:w="140"/>
            </w:tcMar>
            <w:vAlign w:val="center"/>
          </w:tcPr>
          <w:p>
            <w:pPr>
              <w:spacing w:after="0" w:line="260"/>
            </w:pPr>
            <w:r>
              <w:rPr>
                <w:b/>
                <w:bCs/>
                <w:color w:val="FFFFFF"/>
                <w:sz w:val="20"/>
                <w:szCs w:val="20"/>
              </w:rPr>
              <w:t xml:space="preserve">Pattern</w:t>
            </w:r>
          </w:p>
        </w:tc>
        <w:tc>
          <w:tcPr>
            <w:tcW w:type="dxa" w:w="3080"/>
            <w:shd w:fill="182127" w:val="clear"/>
            <w:tcMar>
              <w:top w:type="dxa" w:w="90"/>
              <w:left w:type="dxa" w:w="140"/>
              <w:bottom w:type="dxa" w:w="90"/>
              <w:right w:type="dxa" w:w="140"/>
            </w:tcMar>
            <w:vAlign w:val="center"/>
          </w:tcPr>
          <w:p>
            <w:pPr>
              <w:spacing w:after="0" w:line="260"/>
            </w:pPr>
            <w:r>
              <w:rPr>
                <w:b/>
                <w:bCs/>
                <w:color w:val="FFFFFF"/>
                <w:sz w:val="20"/>
                <w:szCs w:val="20"/>
              </w:rPr>
              <w:t xml:space="preserve">Required stack</w:t>
            </w:r>
          </w:p>
        </w:tc>
        <w:tc>
          <w:tcPr>
            <w:tcW w:type="dxa" w:w="1300"/>
            <w:shd w:fill="182127" w:val="clear"/>
            <w:tcMar>
              <w:top w:type="dxa" w:w="90"/>
              <w:left w:type="dxa" w:w="140"/>
              <w:bottom w:type="dxa" w:w="90"/>
              <w:right w:type="dxa" w:w="140"/>
            </w:tcMar>
            <w:vAlign w:val="center"/>
          </w:tcPr>
          <w:p>
            <w:pPr>
              <w:spacing w:after="0" w:line="260"/>
            </w:pPr>
            <w:r>
              <w:rPr>
                <w:b/>
                <w:bCs/>
                <w:color w:val="FFFFFF"/>
                <w:sz w:val="20"/>
                <w:szCs w:val="20"/>
              </w:rPr>
              <w:t xml:space="preserve">Duration</w:t>
            </w:r>
          </w:p>
        </w:tc>
      </w:tr>
      <w:tr>
        <w:tc>
          <w:tcPr>
            <w:tcW w:type="dxa" w:w="5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1</w:t>
            </w:r>
          </w:p>
        </w:tc>
        <w:tc>
          <w:tcPr>
            <w:tcW w:type="dxa" w:w="23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RAG Knowledge Chatbot</w:t>
            </w:r>
          </w:p>
        </w:tc>
        <w:tc>
          <w:tcPr>
            <w:tcW w:type="dxa" w:w="27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Retrieval-augmented generation, conversational</w:t>
            </w:r>
          </w:p>
        </w:tc>
        <w:tc>
          <w:tcPr>
            <w:tcW w:type="dxa" w:w="30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Azure (Azure AI Search, Azure OpenAI or Claude API), FastAPI, React</w:t>
            </w:r>
          </w:p>
        </w:tc>
        <w:tc>
          <w:tcPr>
            <w:tcW w:type="dxa" w:w="13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1</w:t>
            </w:r>
          </w:p>
        </w:tc>
      </w:tr>
      <w:tr>
        <w:tc>
          <w:tcPr>
            <w:tcW w:type="dxa" w:w="5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2</w:t>
            </w:r>
          </w:p>
        </w:tc>
        <w:tc>
          <w:tcPr>
            <w:tcW w:type="dxa" w:w="23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Unstructured Document Extraction</w:t>
            </w:r>
          </w:p>
        </w:tc>
        <w:tc>
          <w:tcPr>
            <w:tcW w:type="dxa" w:w="27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Document intelligence, human-in-the-loop</w:t>
            </w:r>
          </w:p>
        </w:tc>
        <w:tc>
          <w:tcPr>
            <w:tcW w:type="dxa" w:w="30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Open source end to end (no managed cloud AI services), FastAPI, React</w:t>
            </w:r>
          </w:p>
        </w:tc>
        <w:tc>
          <w:tcPr>
            <w:tcW w:type="dxa" w:w="13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2</w:t>
            </w:r>
          </w:p>
        </w:tc>
      </w:tr>
      <w:tr>
        <w:tc>
          <w:tcPr>
            <w:tcW w:type="dxa" w:w="5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3</w:t>
            </w:r>
          </w:p>
        </w:tc>
        <w:tc>
          <w:tcPr>
            <w:tcW w:type="dxa" w:w="23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Breach Analytics at Scale</w:t>
            </w:r>
          </w:p>
        </w:tc>
        <w:tc>
          <w:tcPr>
            <w:tcW w:type="dxa" w:w="27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Agentic document intelligence: multi-format extraction, entity resolution, cost-tiered LLM routing</w:t>
            </w:r>
          </w:p>
        </w:tc>
        <w:tc>
          <w:tcPr>
            <w:tcW w:type="dxa" w:w="30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Your choice — Azure or open source — with written justification</w:t>
            </w:r>
          </w:p>
        </w:tc>
        <w:tc>
          <w:tcPr>
            <w:tcW w:type="dxa" w:w="13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Weeks 3–4</w:t>
            </w:r>
          </w:p>
        </w:tc>
      </w:tr>
      <w:tr>
        <w:tc>
          <w:tcPr>
            <w:tcW w:type="dxa" w:w="5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4</w:t>
            </w:r>
          </w:p>
        </w:tc>
        <w:tc>
          <w:tcPr>
            <w:tcW w:type="dxa" w:w="23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Innovation Pitch</w:t>
            </w:r>
          </w:p>
        </w:tc>
        <w:tc>
          <w:tcPr>
            <w:tcW w:type="dxa" w:w="27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Your own enterprise use case — idea, business case, pitch</w:t>
            </w:r>
          </w:p>
        </w:tc>
        <w:tc>
          <w:tcPr>
            <w:tcW w:type="dxa" w:w="30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Pitch only (no build required); high-level architecture on any stack</w:t>
            </w:r>
          </w:p>
        </w:tc>
        <w:tc>
          <w:tcPr>
            <w:tcW w:type="dxa" w:w="13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5</w:t>
            </w:r>
          </w:p>
        </w:tc>
      </w:tr>
    </w:tbl>
    <w:p>
      <w:pPr>
        <w:spacing w:after="120"/>
      </w:pPr>
    </w:p>
    <w:p>
      <w:pPr>
        <w:spacing w:after="140" w:line="300"/>
      </w:pPr>
      <w:r>
        <w:t xml:space="preserve">The three use cases deliberately cover three different architectural patterns and force you to work on both a managed-cloud stack and an open-source stack. By the end, you will have defended trade-offs in both worlds — exactly what client work requires.</w:t>
      </w:r>
    </w:p>
    <w:p>
      <w:pPr>
        <w:spacing w:after="140" w:line="300"/>
      </w:pPr>
      <w:r>
        <w:rPr>
          <w:b/>
          <w:bCs/>
          <w:color w:val="182127"/>
        </w:rPr>
        <w:t xml:space="preserve">The Innovation Pitch flips the direction. </w:t>
      </w:r>
      <w:r>
        <w:t xml:space="preserve">For four weeks we hand you the problem; in Week 5 you find one. You will propose an AI use case you believe would genuinely help an enterprise, build the business case, and pitch it — the way a consultant earns new work. Your idea one-pager is due Friday of Week 4; the full brief is in the Week 5 Innovation Pitch document.</w:t>
      </w:r>
    </w:p>
    <w:p>
      <w:pPr>
        <w:pStyle w:val="Heading1"/>
      </w:pPr>
      <w:r>
        <w:t xml:space="preserve">5. Standard Deliverable Set</w:t>
      </w:r>
    </w:p>
    <w:p>
      <w:pPr>
        <w:spacing w:after="140" w:line="300"/>
      </w:pPr>
      <w:r>
        <w:t xml:space="preserve">Every use case requires the same deliverable set. Quality expectations do not relax because the timeline is short — scope your build to protect quality.</w:t>
      </w:r>
    </w:p>
    <w:tbl>
      <w:tblPr>
        <w:tblW w:type="dxa" w:w="9880"/>
        <w:tblBorders>
          <w:top w:val="single" w:color="D9E2EC" w:sz="4"/>
          <w:left w:val="single" w:color="D9E2EC" w:sz="4"/>
          <w:bottom w:val="single" w:color="D9E2EC" w:sz="4"/>
          <w:right w:val="single" w:color="D9E2EC" w:sz="4"/>
          <w:insideH w:val="single" w:color="D9E2EC" w:sz="4"/>
          <w:insideV w:val="single" w:color="D9E2EC" w:sz="4"/>
        </w:tblBorders>
      </w:tblPr>
      <w:tblGrid>
        <w:gridCol w:w="2560"/>
        <w:gridCol w:w="7320"/>
      </w:tblGrid>
      <w:tr>
        <w:trPr>
          <w:tblHeader/>
        </w:trPr>
        <w:tc>
          <w:tcPr>
            <w:tcW w:type="dxa" w:w="2560"/>
            <w:shd w:fill="182127" w:val="clear"/>
            <w:tcMar>
              <w:top w:type="dxa" w:w="90"/>
              <w:left w:type="dxa" w:w="140"/>
              <w:bottom w:type="dxa" w:w="90"/>
              <w:right w:type="dxa" w:w="140"/>
            </w:tcMar>
            <w:vAlign w:val="center"/>
          </w:tcPr>
          <w:p>
            <w:pPr>
              <w:spacing w:after="0" w:line="260"/>
            </w:pPr>
            <w:r>
              <w:rPr>
                <w:b/>
                <w:bCs/>
                <w:color w:val="FFFFFF"/>
                <w:sz w:val="20"/>
                <w:szCs w:val="20"/>
              </w:rPr>
              <w:t xml:space="preserve">Deliverable</w:t>
            </w:r>
          </w:p>
        </w:tc>
        <w:tc>
          <w:tcPr>
            <w:tcW w:type="dxa" w:w="7320"/>
            <w:shd w:fill="182127" w:val="clear"/>
            <w:tcMar>
              <w:top w:type="dxa" w:w="90"/>
              <w:left w:type="dxa" w:w="140"/>
              <w:bottom w:type="dxa" w:w="90"/>
              <w:right w:type="dxa" w:w="140"/>
            </w:tcMar>
            <w:vAlign w:val="center"/>
          </w:tcPr>
          <w:p>
            <w:pPr>
              <w:spacing w:after="0" w:line="260"/>
            </w:pPr>
            <w:r>
              <w:rPr>
                <w:b/>
                <w:bCs/>
                <w:color w:val="FFFFFF"/>
                <w:sz w:val="20"/>
                <w:szCs w:val="20"/>
              </w:rPr>
              <w:t xml:space="preserve">What good looks like</w:t>
            </w:r>
          </w:p>
        </w:tc>
      </w:tr>
      <w:tr>
        <w:tc>
          <w:tcPr>
            <w:tcW w:type="dxa" w:w="256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1. Problem statement</w:t>
            </w:r>
          </w:p>
        </w:tc>
        <w:tc>
          <w:tcPr>
            <w:tcW w:type="dxa" w:w="732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One page. The business problem, the user, success criteria, and what is out of scope. Written for a client executive, not an engineer.</w:t>
            </w:r>
          </w:p>
        </w:tc>
      </w:tr>
      <w:tr>
        <w:tc>
          <w:tcPr>
            <w:tcW w:type="dxa" w:w="256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2. Solution design document</w:t>
            </w:r>
          </w:p>
        </w:tc>
        <w:tc>
          <w:tcPr>
            <w:tcW w:type="dxa" w:w="732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The core artifact. Architecture overview, component responsibilities, data flow, database ERD, API surface, chosen patterns with reasoning, security considerations, and a 'what changes at 100x load' scalability section. 4–8 pages.</w:t>
            </w:r>
          </w:p>
        </w:tc>
      </w:tr>
      <w:tr>
        <w:tc>
          <w:tcPr>
            <w:tcW w:type="dxa" w:w="256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3. Architecture diagram</w:t>
            </w:r>
          </w:p>
        </w:tc>
        <w:tc>
          <w:tcPr>
            <w:tcW w:type="dxa" w:w="732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A clean, labeled diagram (draw.io, Excalidraw, or Mermaid). Every arrow means something. A reader should understand the system from the diagram alone.</w:t>
            </w:r>
          </w:p>
        </w:tc>
      </w:tr>
      <w:tr>
        <w:tc>
          <w:tcPr>
            <w:tcW w:type="dxa" w:w="256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4. Pattern justification</w:t>
            </w:r>
          </w:p>
        </w:tc>
        <w:tc>
          <w:tcPr>
            <w:tcW w:type="dxa" w:w="732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For every major decision (vector store, chunking strategy, model choice, framework, agent design): the options you considered, the one you chose, pros and cons of each, and why the rejected alternatives lost. This section is weighted heavily.</w:t>
            </w:r>
          </w:p>
        </w:tc>
      </w:tr>
      <w:tr>
        <w:tc>
          <w:tcPr>
            <w:tcW w:type="dxa" w:w="256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5. Working demo</w:t>
            </w:r>
          </w:p>
        </w:tc>
        <w:tc>
          <w:tcPr>
            <w:tcW w:type="dxa" w:w="732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Deployed and runnable. Handles errors gracefully. Seeded with realistic sample data. No 'it works on my machine.'</w:t>
            </w:r>
          </w:p>
        </w:tc>
      </w:tr>
      <w:tr>
        <w:tc>
          <w:tcPr>
            <w:tcW w:type="dxa" w:w="256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6. UI with DataFactZ branding</w:t>
            </w:r>
          </w:p>
        </w:tc>
        <w:tc>
          <w:tcPr>
            <w:tcW w:type="dxa" w:w="732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A modern, polished interface following the brand standards in Section 7. Consistent across all three use cases — your three apps should look like one product family.</w:t>
            </w:r>
          </w:p>
        </w:tc>
      </w:tr>
      <w:tr>
        <w:tc>
          <w:tcPr>
            <w:tcW w:type="dxa" w:w="256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7. Cost estimate</w:t>
            </w:r>
          </w:p>
        </w:tc>
        <w:tc>
          <w:tcPr>
            <w:tcW w:type="dxa" w:w="732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What this solution costs to run at pilot scale (100 users) and production scale (5,000 users): API tokens, infrastructure, storage. Show your math.</w:t>
            </w:r>
          </w:p>
        </w:tc>
      </w:tr>
      <w:tr>
        <w:tc>
          <w:tcPr>
            <w:tcW w:type="dxa" w:w="256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8. Final presentation deck</w:t>
            </w:r>
          </w:p>
        </w:tc>
        <w:tc>
          <w:tcPr>
            <w:tcW w:type="dxa" w:w="732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10–15 slides for the Friday demo: problem, architecture, key decisions, demo, lessons learned. DataFactZ branded.</w:t>
            </w:r>
          </w:p>
        </w:tc>
      </w:tr>
      <w:tr>
        <w:tc>
          <w:tcPr>
            <w:tcW w:type="dxa" w:w="256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9. AI usage log</w:t>
            </w:r>
          </w:p>
        </w:tc>
        <w:tc>
          <w:tcPr>
            <w:tcW w:type="dxa" w:w="732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Running log (template provided) of what you asked AI tools to do, what you verified or changed, and what you built yourself. Honesty is assessed, not penalized.</w:t>
            </w:r>
          </w:p>
        </w:tc>
      </w:tr>
    </w:tbl>
    <w:p>
      <w:pPr>
        <w:spacing w:after="120"/>
      </w:pPr>
    </w:p>
    <w:tbl>
      <w:tblPr>
        <w:tblW w:type="dxa" w:w="9880"/>
        <w:tblBorders>
          <w:top w:val="single" w:color="D9E2EC" w:sz="4"/>
          <w:left w:val="single" w:color="FC7900" w:sz="24"/>
          <w:bottom w:val="single" w:color="D9E2EC" w:sz="4"/>
          <w:right w:val="single" w:color="D9E2EC" w:sz="4"/>
          <w:insideH w:val="none"/>
          <w:insideV w:val="none"/>
        </w:tblBorders>
      </w:tblPr>
      <w:tblGrid>
        <w:gridCol w:w="9880"/>
      </w:tblGrid>
      <w:tr>
        <w:tc>
          <w:tcPr>
            <w:tcW w:type="dxa" w:w="9880"/>
            <w:shd w:fill="FFF7EF" w:val="clear"/>
            <w:tcMar>
              <w:top w:type="dxa" w:w="140"/>
              <w:left w:type="dxa" w:w="200"/>
              <w:bottom w:type="dxa" w:w="140"/>
              <w:right w:type="dxa" w:w="200"/>
            </w:tcMar>
          </w:tcPr>
          <w:p>
            <w:pPr>
              <w:spacing w:after="60"/>
            </w:pPr>
            <w:r>
              <w:rPr>
                <w:b/>
                <w:bCs/>
                <w:color w:val="182127"/>
                <w:sz w:val="21"/>
                <w:szCs w:val="21"/>
              </w:rPr>
              <w:t xml:space="preserve">The rejected-alternatives rule</w:t>
            </w:r>
          </w:p>
          <w:p>
            <w:pPr>
              <w:spacing w:after="0" w:line="280"/>
            </w:pPr>
            <w:r>
              <w:rPr>
                <w:sz w:val="21"/>
                <w:szCs w:val="21"/>
              </w:rPr>
              <w:t xml:space="preserve">In every design document, the pattern justification must name at least two alternatives you seriously considered and rejected, with specific reasons. 'I used FAISS because it is popular' fails this bar. 'I chose pgvector over FAISS and Azure AI Search because I needed metadata filtering with relational joins, my corpus is under 100K chunks where pgvector latency is acceptable, and it avoids a second datastore — at the cost of slower ANN search at scale' passes it.</w:t>
            </w:r>
          </w:p>
        </w:tc>
      </w:tr>
    </w:tbl>
    <w:p>
      <w:pPr>
        <w:pStyle w:val="Heading1"/>
      </w:pPr>
      <w:r>
        <w:t xml:space="preserve">6. Tech Stack &amp; Engineering Standards</w:t>
      </w:r>
    </w:p>
    <w:p>
      <w:pPr>
        <w:pStyle w:val="Heading2"/>
      </w:pPr>
      <w:r>
        <w:t xml:space="preserve">6.1 Recommended stack</w:t>
      </w:r>
    </w:p>
    <w:p>
      <w:pPr>
        <w:pStyle w:val="ListParagraph"/>
        <w:numPr>
          <w:ilvl w:val="0"/>
          <w:numId w:val="3"/>
        </w:numPr>
        <w:spacing w:after="80" w:line="280"/>
      </w:pPr>
      <w:r>
        <w:rPr>
          <w:b/>
          <w:bCs/>
          <w:color w:val="182127"/>
        </w:rPr>
        <w:t xml:space="preserve">Backend: </w:t>
      </w:r>
      <w:r>
        <w:t xml:space="preserve">Python 3.11+, FastAPI, Pydantic for schema validation, async where it matters.</w:t>
      </w:r>
    </w:p>
    <w:p>
      <w:pPr>
        <w:pStyle w:val="ListParagraph"/>
        <w:numPr>
          <w:ilvl w:val="0"/>
          <w:numId w:val="3"/>
        </w:numPr>
        <w:spacing w:after="80" w:line="280"/>
      </w:pPr>
      <w:r>
        <w:rPr>
          <w:b/>
          <w:bCs/>
          <w:color w:val="182127"/>
        </w:rPr>
        <w:t xml:space="preserve">Frontend: </w:t>
      </w:r>
      <w:r>
        <w:t xml:space="preserve">React (Vite), Tailwind CSS, shadcn/ui components, Lucide icons.</w:t>
      </w:r>
    </w:p>
    <w:p>
      <w:pPr>
        <w:pStyle w:val="ListParagraph"/>
        <w:numPr>
          <w:ilvl w:val="0"/>
          <w:numId w:val="3"/>
        </w:numPr>
        <w:spacing w:after="80" w:line="280"/>
      </w:pPr>
      <w:r>
        <w:rPr>
          <w:b/>
          <w:bCs/>
          <w:color w:val="182127"/>
        </w:rPr>
        <w:t xml:space="preserve">LLMs: </w:t>
      </w:r>
      <w:r>
        <w:t xml:space="preserve">Claude (Anthropic), OpenAI, DeepSeek. You are expected to compare at least two models somewhere in the program and report cost/quality trade-offs.</w:t>
      </w:r>
    </w:p>
    <w:p>
      <w:pPr>
        <w:pStyle w:val="ListParagraph"/>
        <w:numPr>
          <w:ilvl w:val="0"/>
          <w:numId w:val="3"/>
        </w:numPr>
        <w:spacing w:after="80" w:line="280"/>
      </w:pPr>
      <w:r>
        <w:rPr>
          <w:b/>
          <w:bCs/>
          <w:color w:val="182127"/>
        </w:rPr>
        <w:t xml:space="preserve">Cloud: </w:t>
      </w:r>
      <w:r>
        <w:t xml:space="preserve">Azure (shared Resource Group) for Use Case 1; open source for Use Case 2; your justified choice for Use Case 3.</w:t>
      </w:r>
    </w:p>
    <w:p>
      <w:pPr>
        <w:pStyle w:val="ListParagraph"/>
        <w:numPr>
          <w:ilvl w:val="0"/>
          <w:numId w:val="3"/>
        </w:numPr>
        <w:spacing w:after="80" w:line="280"/>
      </w:pPr>
      <w:r>
        <w:rPr>
          <w:b/>
          <w:bCs/>
          <w:color w:val="182127"/>
        </w:rPr>
        <w:t xml:space="preserve">AI tooling: </w:t>
      </w:r>
      <w:r>
        <w:t xml:space="preserve">Claude Code as pair-programmer; MCP servers where useful in Use Case 3.</w:t>
      </w:r>
    </w:p>
    <w:p>
      <w:pPr>
        <w:spacing w:after="140" w:line="300"/>
      </w:pPr>
      <w:r>
        <w:t xml:space="preserve">Deviations from the recommended stack are allowed only with written justification in your design doc — which, done well, can earn creativity points rather than lose them.</w:t>
      </w:r>
    </w:p>
    <w:p>
      <w:pPr>
        <w:pStyle w:val="Heading2"/>
      </w:pPr>
      <w:r>
        <w:t xml:space="preserve">6.2 Full-stack engineering standards</w:t>
      </w:r>
    </w:p>
    <w:p>
      <w:pPr>
        <w:spacing w:after="140" w:line="300"/>
      </w:pPr>
      <w:r>
        <w:t xml:space="preserve">Every use case is a full-fledged application — a React frontend, a properly designed API, and a real database — not a script with a chat window. These standards apply to all three builds and are scored under technical implementation:</w:t>
      </w:r>
    </w:p>
    <w:p>
      <w:pPr>
        <w:pStyle w:val="ListParagraph"/>
        <w:numPr>
          <w:ilvl w:val="0"/>
          <w:numId w:val="3"/>
        </w:numPr>
        <w:spacing w:after="80" w:line="280"/>
      </w:pPr>
      <w:r>
        <w:rPr>
          <w:b/>
          <w:bCs/>
          <w:color w:val="182127"/>
        </w:rPr>
        <w:t xml:space="preserve">API design: </w:t>
      </w:r>
      <w:r>
        <w:t xml:space="preserve">resource-oriented REST routes versioned under /api/v1, correct HTTP methods and status codes, Pydantic request/response models on every endpoint, auto-generated OpenAPI docs kept accurate, and at least API-key authentication. An endpoint that returns 200 with an error message in the body is an attention-to-detail deduction.</w:t>
      </w:r>
    </w:p>
    <w:p>
      <w:pPr>
        <w:pStyle w:val="ListParagraph"/>
        <w:numPr>
          <w:ilvl w:val="0"/>
          <w:numId w:val="3"/>
        </w:numPr>
        <w:spacing w:after="80" w:line="280"/>
      </w:pPr>
      <w:r>
        <w:rPr>
          <w:b/>
          <w:bCs/>
          <w:color w:val="182127"/>
        </w:rPr>
        <w:t xml:space="preserve">Database design: </w:t>
      </w:r>
      <w:r>
        <w:t xml:space="preserve">a real relational schema per use case (e.g., conversations/messages/citations; documents/extractions/corrections; runs/steps/tool_calls). Normalized where it should be, indexed where queries need it, managed with migrations (Alembic). The ERD goes in your design doc, and you defend it in review.</w:t>
      </w:r>
    </w:p>
    <w:p>
      <w:pPr>
        <w:pStyle w:val="ListParagraph"/>
        <w:numPr>
          <w:ilvl w:val="0"/>
          <w:numId w:val="3"/>
        </w:numPr>
        <w:spacing w:after="80" w:line="280"/>
      </w:pPr>
      <w:r>
        <w:rPr>
          <w:b/>
          <w:bCs/>
          <w:color w:val="182127"/>
        </w:rPr>
        <w:t xml:space="preserve">Code structure: </w:t>
      </w:r>
      <w:r>
        <w:t xml:space="preserve">layered backend (routers → services → data access), typed Python, configuration via environment variables, structured logging, centralized error handling, and unit tests on core business logic (chunking, extraction validation, agent budgets — not boilerplate).</w:t>
      </w:r>
    </w:p>
    <w:p>
      <w:pPr>
        <w:pStyle w:val="ListParagraph"/>
        <w:numPr>
          <w:ilvl w:val="0"/>
          <w:numId w:val="3"/>
        </w:numPr>
        <w:spacing w:after="80" w:line="280"/>
      </w:pPr>
      <w:r>
        <w:rPr>
          <w:b/>
          <w:bCs/>
          <w:color w:val="182127"/>
        </w:rPr>
        <w:t xml:space="preserve">Scalability: </w:t>
      </w:r>
      <w:r>
        <w:t xml:space="preserve">stateless API processes, async I/O for all LLM and network calls, long-running work pushed to background jobs, and explicit reasoning about caching. Every design doc must include a 'what changes at 100x load' section — what breaks first, and what you would change.</w:t>
      </w:r>
    </w:p>
    <w:p>
      <w:pPr>
        <w:pStyle w:val="ListParagraph"/>
        <w:numPr>
          <w:ilvl w:val="0"/>
          <w:numId w:val="3"/>
        </w:numPr>
        <w:spacing w:after="80" w:line="280"/>
      </w:pPr>
      <w:r>
        <w:rPr>
          <w:b/>
          <w:bCs/>
          <w:color w:val="182127"/>
        </w:rPr>
        <w:t xml:space="preserve">Frontend: </w:t>
      </w:r>
      <w:r>
        <w:t xml:space="preserve">componentized React with a shared layout shell reused across all three apps, loading and error states for every async call, and no console errors in the demo build.</w:t>
      </w:r>
    </w:p>
    <w:p>
      <w:pPr>
        <w:pStyle w:val="Heading1"/>
      </w:pPr>
      <w:r>
        <w:t xml:space="preserve">7. UI &amp; Branding Standards</w:t>
      </w:r>
    </w:p>
    <w:p>
      <w:pPr>
        <w:spacing w:after="140" w:line="300"/>
      </w:pPr>
      <w:r>
        <w:t xml:space="preserve">Every UI you ship must look like a DataFactZ product. This is a hard requirement and a scored rubric line. The standards:</w:t>
      </w:r>
    </w:p>
    <w:p>
      <w:pPr>
        <w:pStyle w:val="ListParagraph"/>
        <w:numPr>
          <w:ilvl w:val="0"/>
          <w:numId w:val="3"/>
        </w:numPr>
        <w:spacing w:after="80" w:line="280"/>
      </w:pPr>
      <w:r>
        <w:rPr>
          <w:b/>
          <w:bCs/>
          <w:color w:val="182127"/>
        </w:rPr>
        <w:t xml:space="preserve">Brand gradient: </w:t>
      </w:r>
      <w:r>
        <w:t xml:space="preserve">yellow → orange → red (#F4AD0B → #FC7900 → #E3434A). Use for hero text accents, primary buttons, and soft 10% tints — it is the most recognizable brand element.</w:t>
      </w:r>
    </w:p>
    <w:p>
      <w:pPr>
        <w:pStyle w:val="ListParagraph"/>
        <w:numPr>
          <w:ilvl w:val="0"/>
          <w:numId w:val="3"/>
        </w:numPr>
        <w:spacing w:after="80" w:line="280"/>
      </w:pPr>
      <w:r>
        <w:rPr>
          <w:b/>
          <w:bCs/>
          <w:color w:val="182127"/>
        </w:rPr>
        <w:t xml:space="preserve">Core colors: </w:t>
      </w:r>
      <w:r>
        <w:t xml:space="preserve">orange #FC7900 (primary actions, links, accents) and navy #182127 (dark chrome, headings). Neutral backgrounds; color as accent, never full-bleed.</w:t>
      </w:r>
    </w:p>
    <w:p>
      <w:pPr>
        <w:pStyle w:val="ListParagraph"/>
        <w:numPr>
          <w:ilvl w:val="0"/>
          <w:numId w:val="3"/>
        </w:numPr>
        <w:spacing w:after="80" w:line="280"/>
      </w:pPr>
      <w:r>
        <w:rPr>
          <w:b/>
          <w:bCs/>
          <w:color w:val="182127"/>
        </w:rPr>
        <w:t xml:space="preserve">Typography: </w:t>
      </w:r>
      <w:r>
        <w:t xml:space="preserve">Inter, all weights. Tight tracking on large headings, sentence case for buttons and navigation, Title Case for page titles only.</w:t>
      </w:r>
    </w:p>
    <w:p>
      <w:pPr>
        <w:pStyle w:val="ListParagraph"/>
        <w:numPr>
          <w:ilvl w:val="0"/>
          <w:numId w:val="3"/>
        </w:numPr>
        <w:spacing w:after="80" w:line="280"/>
      </w:pPr>
      <w:r>
        <w:rPr>
          <w:b/>
          <w:bCs/>
          <w:color w:val="182127"/>
        </w:rPr>
        <w:t xml:space="preserve">Icons: </w:t>
      </w:r>
      <w:r>
        <w:t xml:space="preserve">Lucide only — monoline, 1.5–2px stroke. No Font Awesome, no Material Icons, no emoji anywhere in the UI.</w:t>
      </w:r>
    </w:p>
    <w:p>
      <w:pPr>
        <w:pStyle w:val="ListParagraph"/>
        <w:numPr>
          <w:ilvl w:val="0"/>
          <w:numId w:val="3"/>
        </w:numPr>
        <w:spacing w:after="80" w:line="280"/>
      </w:pPr>
      <w:r>
        <w:rPr>
          <w:b/>
          <w:bCs/>
          <w:color w:val="182127"/>
        </w:rPr>
        <w:t xml:space="preserve">Components: </w:t>
      </w:r>
      <w:r>
        <w:t xml:space="preserve">rounded-xl cards (12px), rounded-md buttons (6px), rounded-full pills. Cards lift on hover (translateY(-5px) + shadow). Dark mode is the DataFactZ default; support it if you can, but a polished light mode beats a broken dark mode.</w:t>
      </w:r>
    </w:p>
    <w:p>
      <w:pPr>
        <w:pStyle w:val="ListParagraph"/>
        <w:numPr>
          <w:ilvl w:val="0"/>
          <w:numId w:val="3"/>
        </w:numPr>
        <w:spacing w:after="80" w:line="280"/>
      </w:pPr>
      <w:r>
        <w:rPr>
          <w:b/>
          <w:bCs/>
          <w:color w:val="182127"/>
        </w:rPr>
        <w:t xml:space="preserve">Voice: </w:t>
      </w:r>
      <w:r>
        <w:t xml:space="preserve">confident, plainspoken, enterprise. No exclamation marks. 'Your teams', never 'users', in any user-facing copy.</w:t>
      </w:r>
    </w:p>
    <w:p>
      <w:pPr>
        <w:pStyle w:val="ListParagraph"/>
        <w:numPr>
          <w:ilvl w:val="0"/>
          <w:numId w:val="3"/>
        </w:numPr>
        <w:spacing w:after="80" w:line="280"/>
      </w:pPr>
      <w:r>
        <w:rPr>
          <w:b/>
          <w:bCs/>
          <w:color w:val="182127"/>
        </w:rPr>
        <w:t xml:space="preserve">Consistency: </w:t>
      </w:r>
      <w:r>
        <w:t xml:space="preserve">your three applications must share a layout shell, color usage, and component style. Build a small shared component set in Week 1 and reuse it.</w:t>
      </w:r>
    </w:p>
    <w:p>
      <w:pPr>
        <w:pStyle w:val="Heading1"/>
      </w:pPr>
      <w:r>
        <w:t xml:space="preserve">8. Claude Certified Architect (CCA-F) Roadmap</w:t>
      </w:r>
    </w:p>
    <w:p>
      <w:pPr>
        <w:spacing w:after="140" w:line="300"/>
      </w:pPr>
      <w:r>
        <w:t xml:space="preserve">Everyone in the program prepares for Anthropic's Claude Certified Architect — Foundations (CCA-F) exam. This runs in parallel with project work throughout the program.</w:t>
      </w:r>
    </w:p>
    <w:p>
      <w:pPr>
        <w:pStyle w:val="Heading2"/>
      </w:pPr>
      <w:r>
        <w:t xml:space="preserve">8.1 Exam facts</w:t>
      </w:r>
    </w:p>
    <w:tbl>
      <w:tblPr>
        <w:tblW w:type="dxa" w:w="9880"/>
        <w:tblBorders>
          <w:top w:val="single" w:color="D9E2EC" w:sz="4"/>
          <w:left w:val="single" w:color="D9E2EC" w:sz="4"/>
          <w:bottom w:val="single" w:color="D9E2EC" w:sz="4"/>
          <w:right w:val="single" w:color="D9E2EC" w:sz="4"/>
          <w:insideH w:val="single" w:color="D9E2EC" w:sz="4"/>
          <w:insideV w:val="single" w:color="D9E2EC" w:sz="4"/>
        </w:tblBorders>
      </w:tblPr>
      <w:tblGrid>
        <w:gridCol w:w="1900"/>
        <w:gridCol w:w="7980"/>
      </w:tblGrid>
      <w:tr>
        <w:trPr>
          <w:tblHeader/>
        </w:trPr>
        <w:tc>
          <w:tcPr>
            <w:tcW w:type="dxa" w:w="1900"/>
            <w:shd w:fill="182127" w:val="clear"/>
            <w:tcMar>
              <w:top w:type="dxa" w:w="90"/>
              <w:left w:type="dxa" w:w="140"/>
              <w:bottom w:type="dxa" w:w="90"/>
              <w:right w:type="dxa" w:w="140"/>
            </w:tcMar>
            <w:vAlign w:val="center"/>
          </w:tcPr>
          <w:p>
            <w:pPr>
              <w:spacing w:after="0" w:line="260"/>
            </w:pPr>
            <w:r>
              <w:rPr>
                <w:b/>
                <w:bCs/>
                <w:color w:val="FFFFFF"/>
                <w:sz w:val="20"/>
                <w:szCs w:val="20"/>
              </w:rPr>
              <w:t xml:space="preserve">Item</w:t>
            </w:r>
          </w:p>
        </w:tc>
        <w:tc>
          <w:tcPr>
            <w:tcW w:type="dxa" w:w="7980"/>
            <w:shd w:fill="182127" w:val="clear"/>
            <w:tcMar>
              <w:top w:type="dxa" w:w="90"/>
              <w:left w:type="dxa" w:w="140"/>
              <w:bottom w:type="dxa" w:w="90"/>
              <w:right w:type="dxa" w:w="140"/>
            </w:tcMar>
            <w:vAlign w:val="center"/>
          </w:tcPr>
          <w:p>
            <w:pPr>
              <w:spacing w:after="0" w:line="260"/>
            </w:pPr>
            <w:r>
              <w:rPr>
                <w:b/>
                <w:bCs/>
                <w:color w:val="FFFFFF"/>
                <w:sz w:val="20"/>
                <w:szCs w:val="20"/>
              </w:rPr>
              <w:t xml:space="preserve">Detail</w:t>
            </w:r>
          </w:p>
        </w:tc>
      </w:tr>
      <w:tr>
        <w:tc>
          <w:tcPr>
            <w:tcW w:type="dxa" w:w="19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Format</w:t>
            </w:r>
          </w:p>
        </w:tc>
        <w:tc>
          <w:tcPr>
            <w:tcW w:type="dxa" w:w="79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60 questions, 120 minutes, proctored, closed book, no AI assistance</w:t>
            </w:r>
          </w:p>
        </w:tc>
      </w:tr>
      <w:tr>
        <w:tc>
          <w:tcPr>
            <w:tcW w:type="dxa" w:w="19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Passing score</w:t>
            </w:r>
          </w:p>
        </w:tc>
        <w:tc>
          <w:tcPr>
            <w:tcW w:type="dxa" w:w="79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720 on a 100–1,000 scale</w:t>
            </w:r>
          </w:p>
        </w:tc>
      </w:tr>
      <w:tr>
        <w:tc>
          <w:tcPr>
            <w:tcW w:type="dxa" w:w="19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Cost</w:t>
            </w:r>
          </w:p>
        </w:tc>
        <w:tc>
          <w:tcPr>
            <w:tcW w:type="dxa" w:w="79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$125 per attempt (confirm current pricing when booking)</w:t>
            </w:r>
          </w:p>
        </w:tc>
      </w:tr>
      <w:tr>
        <w:tc>
          <w:tcPr>
            <w:tcW w:type="dxa" w:w="19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Where</w:t>
            </w:r>
          </w:p>
        </w:tc>
        <w:tc>
          <w:tcPr>
            <w:tcW w:type="dxa" w:w="79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Anthropic Skilljar / Partner Academy and Pearson VUE test centers</w:t>
            </w:r>
          </w:p>
        </w:tc>
      </w:tr>
      <w:tr>
        <w:tc>
          <w:tcPr>
            <w:tcW w:type="dxa" w:w="19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Domains</w:t>
            </w:r>
          </w:p>
        </w:tc>
        <w:tc>
          <w:tcPr>
            <w:tcW w:type="dxa" w:w="79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Agentic Architecture (27%), Claude Code Workflows (20%), Prompt Engineering (20%), Tool Design &amp; MCP (18%), Context Management (15%)</w:t>
            </w:r>
          </w:p>
        </w:tc>
      </w:tr>
    </w:tbl>
    <w:p>
      <w:pPr>
        <w:spacing w:after="120"/>
      </w:pPr>
    </w:p>
    <w:p>
      <w:pPr>
        <w:pStyle w:val="Heading2"/>
      </w:pPr>
      <w:r>
        <w:t xml:space="preserve">8.2 The rules</w:t>
      </w:r>
    </w:p>
    <w:p>
      <w:pPr>
        <w:pStyle w:val="ListParagraph"/>
        <w:numPr>
          <w:ilvl w:val="0"/>
          <w:numId w:val="2"/>
        </w:numPr>
        <w:spacing w:after="80" w:line="280"/>
      </w:pPr>
      <w:r>
        <w:rPr>
          <w:b/>
          <w:bCs/>
          <w:color w:val="182127"/>
        </w:rPr>
        <w:t xml:space="preserve">DataFactZ email only. </w:t>
      </w:r>
      <w:r>
        <w:t xml:space="preserve">Register for courses and the exam with your @datafactz.ai email address. No personal emails.</w:t>
      </w:r>
    </w:p>
    <w:p>
      <w:pPr>
        <w:pStyle w:val="ListParagraph"/>
        <w:numPr>
          <w:ilvl w:val="0"/>
          <w:numId w:val="2"/>
        </w:numPr>
        <w:spacing w:after="80" w:line="280"/>
      </w:pPr>
      <w:r>
        <w:rPr>
          <w:b/>
          <w:bCs/>
          <w:color w:val="182127"/>
        </w:rPr>
        <w:t xml:space="preserve">Do not rush the exam. </w:t>
      </w:r>
      <w:r>
        <w:t xml:space="preserve">This exam is difficult. Complete the Anthropic Skilljar courses first — starting with Building with the Claude API — then take practice tests.</w:t>
      </w:r>
    </w:p>
    <w:p>
      <w:pPr>
        <w:pStyle w:val="ListParagraph"/>
        <w:numPr>
          <w:ilvl w:val="0"/>
          <w:numId w:val="2"/>
        </w:numPr>
        <w:spacing w:after="80" w:line="280"/>
      </w:pPr>
      <w:r>
        <w:rPr>
          <w:b/>
          <w:bCs/>
          <w:color w:val="182127"/>
        </w:rPr>
        <w:t xml:space="preserve">The 90% gate. </w:t>
      </w:r>
      <w:r>
        <w:t xml:space="preserve">Book the exam only after scoring 90% or higher consistently across practice tests. Report practice scores in your weekly status report.</w:t>
      </w:r>
    </w:p>
    <w:p>
      <w:pPr>
        <w:pStyle w:val="ListParagraph"/>
        <w:numPr>
          <w:ilvl w:val="0"/>
          <w:numId w:val="2"/>
        </w:numPr>
        <w:spacing w:after="80" w:line="280"/>
      </w:pPr>
      <w:r>
        <w:rPr>
          <w:b/>
          <w:bCs/>
          <w:color w:val="182127"/>
        </w:rPr>
        <w:t xml:space="preserve">Timing. </w:t>
      </w:r>
      <w:r>
        <w:t xml:space="preserve">There is no fixed exam week. Most of you will sit the exam after the 5-week program ends — that is expected and fine. A failed rushed attempt costs money and confidence; a prepared attempt costs neither.</w:t>
      </w:r>
    </w:p>
    <w:p>
      <w:pPr>
        <w:pStyle w:val="Heading2"/>
      </w:pPr>
      <w:r>
        <w:t xml:space="preserve">8.3 Suggested pacing</w:t>
      </w:r>
    </w:p>
    <w:tbl>
      <w:tblPr>
        <w:tblW w:type="dxa" w:w="9880"/>
        <w:tblBorders>
          <w:top w:val="single" w:color="D9E2EC" w:sz="4"/>
          <w:left w:val="single" w:color="D9E2EC" w:sz="4"/>
          <w:bottom w:val="single" w:color="D9E2EC" w:sz="4"/>
          <w:right w:val="single" w:color="D9E2EC" w:sz="4"/>
          <w:insideH w:val="single" w:color="D9E2EC" w:sz="4"/>
          <w:insideV w:val="single" w:color="D9E2EC" w:sz="4"/>
        </w:tblBorders>
      </w:tblPr>
      <w:tblGrid>
        <w:gridCol w:w="1400"/>
        <w:gridCol w:w="8480"/>
      </w:tblGrid>
      <w:tr>
        <w:trPr>
          <w:tblHeader/>
        </w:trPr>
        <w:tc>
          <w:tcPr>
            <w:tcW w:type="dxa" w:w="1400"/>
            <w:shd w:fill="182127" w:val="clear"/>
            <w:tcMar>
              <w:top w:type="dxa" w:w="90"/>
              <w:left w:type="dxa" w:w="140"/>
              <w:bottom w:type="dxa" w:w="90"/>
              <w:right w:type="dxa" w:w="140"/>
            </w:tcMar>
            <w:vAlign w:val="center"/>
          </w:tcPr>
          <w:p>
            <w:pPr>
              <w:spacing w:after="0" w:line="260"/>
            </w:pPr>
            <w:r>
              <w:rPr>
                <w:b/>
                <w:bCs/>
                <w:color w:val="FFFFFF"/>
                <w:sz w:val="20"/>
                <w:szCs w:val="20"/>
              </w:rPr>
              <w:t xml:space="preserve">Week</w:t>
            </w:r>
          </w:p>
        </w:tc>
        <w:tc>
          <w:tcPr>
            <w:tcW w:type="dxa" w:w="8480"/>
            <w:shd w:fill="182127" w:val="clear"/>
            <w:tcMar>
              <w:top w:type="dxa" w:w="90"/>
              <w:left w:type="dxa" w:w="140"/>
              <w:bottom w:type="dxa" w:w="90"/>
              <w:right w:type="dxa" w:w="140"/>
            </w:tcMar>
            <w:vAlign w:val="center"/>
          </w:tcPr>
          <w:p>
            <w:pPr>
              <w:spacing w:after="0" w:line="260"/>
            </w:pPr>
            <w:r>
              <w:rPr>
                <w:b/>
                <w:bCs/>
                <w:color w:val="FFFFFF"/>
                <w:sz w:val="20"/>
                <w:szCs w:val="20"/>
              </w:rPr>
              <w:t xml:space="preserve">Cert focus (5–7 hrs/week alongside project work)</w:t>
            </w:r>
          </w:p>
        </w:tc>
      </w:tr>
      <w:tr>
        <w:tc>
          <w:tcPr>
            <w:tcW w:type="dxa" w:w="14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1</w:t>
            </w:r>
          </w:p>
        </w:tc>
        <w:tc>
          <w:tcPr>
            <w:tcW w:type="dxa" w:w="84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Building with the Claude API (flagship course) — API basics, prompting, tool use. This directly helps Use Case 1.</w:t>
            </w:r>
          </w:p>
        </w:tc>
      </w:tr>
      <w:tr>
        <w:tc>
          <w:tcPr>
            <w:tcW w:type="dxa" w:w="14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2</w:t>
            </w:r>
          </w:p>
        </w:tc>
        <w:tc>
          <w:tcPr>
            <w:tcW w:type="dxa" w:w="84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Finish flagship course; start MCP and Claude Code courses. Prompt Engineering domain review.</w:t>
            </w:r>
          </w:p>
        </w:tc>
      </w:tr>
      <w:tr>
        <w:tc>
          <w:tcPr>
            <w:tcW w:type="dxa" w:w="14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3</w:t>
            </w:r>
          </w:p>
        </w:tc>
        <w:tc>
          <w:tcPr>
            <w:tcW w:type="dxa" w:w="84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Agentic architecture and context management modules — these directly help Use Case 3. First practice test (score it, don't judge it).</w:t>
            </w:r>
          </w:p>
        </w:tc>
      </w:tr>
      <w:tr>
        <w:tc>
          <w:tcPr>
            <w:tcW w:type="dxa" w:w="14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4</w:t>
            </w:r>
          </w:p>
        </w:tc>
        <w:tc>
          <w:tcPr>
            <w:tcW w:type="dxa" w:w="84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Practice tests, review weak domains. First full timed practice exam.</w:t>
            </w:r>
          </w:p>
        </w:tc>
      </w:tr>
      <w:tr>
        <w:tc>
          <w:tcPr>
            <w:tcW w:type="dxa" w:w="14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Week 5</w:t>
            </w:r>
          </w:p>
        </w:tc>
        <w:tc>
          <w:tcPr>
            <w:tcW w:type="dxa" w:w="84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Pitch week is lighter on build time — use it for focused practice tests. If consistently 90%+, book the exam.</w:t>
            </w:r>
          </w:p>
        </w:tc>
      </w:tr>
      <w:tr>
        <w:tc>
          <w:tcPr>
            <w:tcW w:type="dxa" w:w="14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After program</w:t>
            </w:r>
          </w:p>
        </w:tc>
        <w:tc>
          <w:tcPr>
            <w:tcW w:type="dxa" w:w="84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Continue practice tests until the 90% gate is met, then sit the exam.</w:t>
            </w:r>
          </w:p>
        </w:tc>
      </w:tr>
    </w:tbl>
    <w:p>
      <w:pPr>
        <w:pStyle w:val="Heading1"/>
      </w:pPr>
      <w:r>
        <w:t xml:space="preserve">9. How You Are Assessed</w:t>
      </w:r>
    </w:p>
    <w:p>
      <w:pPr>
        <w:spacing w:after="140" w:line="300"/>
      </w:pPr>
      <w:r>
        <w:t xml:space="preserve">Scoring uses the DataFactZ Scoring Rubric workbook. Each Friday deliverable is scored 1–5 on each criterion, weighted as follows:</w:t>
      </w:r>
    </w:p>
    <w:tbl>
      <w:tblPr>
        <w:tblW w:type="dxa" w:w="9880"/>
        <w:tblBorders>
          <w:top w:val="single" w:color="D9E2EC" w:sz="4"/>
          <w:left w:val="single" w:color="D9E2EC" w:sz="4"/>
          <w:bottom w:val="single" w:color="D9E2EC" w:sz="4"/>
          <w:right w:val="single" w:color="D9E2EC" w:sz="4"/>
          <w:insideH w:val="single" w:color="D9E2EC" w:sz="4"/>
          <w:insideV w:val="single" w:color="D9E2EC" w:sz="4"/>
        </w:tblBorders>
      </w:tblPr>
      <w:tblGrid>
        <w:gridCol w:w="2500"/>
        <w:gridCol w:w="900"/>
        <w:gridCol w:w="6480"/>
      </w:tblGrid>
      <w:tr>
        <w:trPr>
          <w:tblHeader/>
        </w:trPr>
        <w:tc>
          <w:tcPr>
            <w:tcW w:type="dxa" w:w="2500"/>
            <w:shd w:fill="182127" w:val="clear"/>
            <w:tcMar>
              <w:top w:type="dxa" w:w="90"/>
              <w:left w:type="dxa" w:w="140"/>
              <w:bottom w:type="dxa" w:w="90"/>
              <w:right w:type="dxa" w:w="140"/>
            </w:tcMar>
            <w:vAlign w:val="center"/>
          </w:tcPr>
          <w:p>
            <w:pPr>
              <w:spacing w:after="0" w:line="260"/>
            </w:pPr>
            <w:r>
              <w:rPr>
                <w:b/>
                <w:bCs/>
                <w:color w:val="FFFFFF"/>
                <w:sz w:val="20"/>
                <w:szCs w:val="20"/>
              </w:rPr>
              <w:t xml:space="preserve">Criterion</w:t>
            </w:r>
          </w:p>
        </w:tc>
        <w:tc>
          <w:tcPr>
            <w:tcW w:type="dxa" w:w="900"/>
            <w:shd w:fill="182127" w:val="clear"/>
            <w:tcMar>
              <w:top w:type="dxa" w:w="90"/>
              <w:left w:type="dxa" w:w="140"/>
              <w:bottom w:type="dxa" w:w="90"/>
              <w:right w:type="dxa" w:w="140"/>
            </w:tcMar>
            <w:vAlign w:val="center"/>
          </w:tcPr>
          <w:p>
            <w:pPr>
              <w:spacing w:after="0" w:line="260"/>
            </w:pPr>
            <w:r>
              <w:rPr>
                <w:b/>
                <w:bCs/>
                <w:color w:val="FFFFFF"/>
                <w:sz w:val="20"/>
                <w:szCs w:val="20"/>
              </w:rPr>
              <w:t xml:space="preserve">Weight</w:t>
            </w:r>
          </w:p>
        </w:tc>
        <w:tc>
          <w:tcPr>
            <w:tcW w:type="dxa" w:w="6480"/>
            <w:shd w:fill="182127" w:val="clear"/>
            <w:tcMar>
              <w:top w:type="dxa" w:w="90"/>
              <w:left w:type="dxa" w:w="140"/>
              <w:bottom w:type="dxa" w:w="90"/>
              <w:right w:type="dxa" w:w="140"/>
            </w:tcMar>
            <w:vAlign w:val="center"/>
          </w:tcPr>
          <w:p>
            <w:pPr>
              <w:spacing w:after="0" w:line="260"/>
            </w:pPr>
            <w:r>
              <w:rPr>
                <w:b/>
                <w:bCs/>
                <w:color w:val="FFFFFF"/>
                <w:sz w:val="20"/>
                <w:szCs w:val="20"/>
              </w:rPr>
              <w:t xml:space="preserve">What we look for</w:t>
            </w:r>
          </w:p>
        </w:tc>
      </w:tr>
      <w:tr>
        <w:tc>
          <w:tcPr>
            <w:tcW w:type="dxa" w:w="25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Architectural reasoning</w:t>
            </w:r>
          </w:p>
        </w:tc>
        <w:tc>
          <w:tcPr>
            <w:tcW w:type="dxa" w:w="9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20%</w:t>
            </w:r>
          </w:p>
        </w:tc>
        <w:tc>
          <w:tcPr>
            <w:tcW w:type="dxa" w:w="64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Sound decisions, real trade-off analysis, rejected alternatives named, patterns matched to the problem</w:t>
            </w:r>
          </w:p>
        </w:tc>
      </w:tr>
      <w:tr>
        <w:tc>
          <w:tcPr>
            <w:tcW w:type="dxa" w:w="25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Technical implementation</w:t>
            </w:r>
          </w:p>
        </w:tc>
        <w:tc>
          <w:tcPr>
            <w:tcW w:type="dxa" w:w="9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20%</w:t>
            </w:r>
          </w:p>
        </w:tc>
        <w:tc>
          <w:tcPr>
            <w:tcW w:type="dxa" w:w="64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Working full-stack software: API design, database schema, code quality, error handling, security basics, scalability reasoning, git hygiene</w:t>
            </w:r>
          </w:p>
        </w:tc>
      </w:tr>
      <w:tr>
        <w:tc>
          <w:tcPr>
            <w:tcW w:type="dxa" w:w="25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Attention to detail</w:t>
            </w:r>
          </w:p>
        </w:tc>
        <w:tc>
          <w:tcPr>
            <w:tcW w:type="dxa" w:w="9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15%</w:t>
            </w:r>
          </w:p>
        </w:tc>
        <w:tc>
          <w:tcPr>
            <w:tcW w:type="dxa" w:w="64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Zero typos in docs, consistent naming, edge cases handled, checklists actually completed, no committed secrets</w:t>
            </w:r>
          </w:p>
        </w:tc>
      </w:tr>
      <w:tr>
        <w:tc>
          <w:tcPr>
            <w:tcW w:type="dxa" w:w="25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UI &amp; branding</w:t>
            </w:r>
          </w:p>
        </w:tc>
        <w:tc>
          <w:tcPr>
            <w:tcW w:type="dxa" w:w="9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10%</w:t>
            </w:r>
          </w:p>
        </w:tc>
        <w:tc>
          <w:tcPr>
            <w:tcW w:type="dxa" w:w="64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Modern polished interface, DataFactZ brand standards followed, consistency across apps</w:t>
            </w:r>
          </w:p>
        </w:tc>
      </w:tr>
      <w:tr>
        <w:tc>
          <w:tcPr>
            <w:tcW w:type="dxa" w:w="25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Documentation quality</w:t>
            </w:r>
          </w:p>
        </w:tc>
        <w:tc>
          <w:tcPr>
            <w:tcW w:type="dxa" w:w="9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10%</w:t>
            </w:r>
          </w:p>
        </w:tc>
        <w:tc>
          <w:tcPr>
            <w:tcW w:type="dxa" w:w="64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Client-ready writing: clear, structured, complete, correct</w:t>
            </w:r>
          </w:p>
        </w:tc>
      </w:tr>
      <w:tr>
        <w:tc>
          <w:tcPr>
            <w:tcW w:type="dxa" w:w="25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Communication &amp; presentation</w:t>
            </w:r>
          </w:p>
        </w:tc>
        <w:tc>
          <w:tcPr>
            <w:tcW w:type="dxa" w:w="9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10%</w:t>
            </w:r>
          </w:p>
        </w:tc>
        <w:tc>
          <w:tcPr>
            <w:tcW w:type="dxa" w:w="64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Friday demos: clarity, timing, ability to answer questions and defend decisions</w:t>
            </w:r>
          </w:p>
        </w:tc>
      </w:tr>
      <w:tr>
        <w:tc>
          <w:tcPr>
            <w:tcW w:type="dxa" w:w="25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AI usage transparency</w:t>
            </w:r>
          </w:p>
        </w:tc>
        <w:tc>
          <w:tcPr>
            <w:tcW w:type="dxa" w:w="9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5%</w:t>
            </w:r>
          </w:p>
        </w:tc>
        <w:tc>
          <w:tcPr>
            <w:tcW w:type="dxa" w:w="64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Honest, specific AI usage log; you can explain everything you shipped</w:t>
            </w:r>
          </w:p>
        </w:tc>
      </w:tr>
      <w:tr>
        <w:tc>
          <w:tcPr>
            <w:tcW w:type="dxa" w:w="25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Creativity</w:t>
            </w:r>
          </w:p>
        </w:tc>
        <w:tc>
          <w:tcPr>
            <w:tcW w:type="dxa" w:w="9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5%</w:t>
            </w:r>
          </w:p>
        </w:tc>
        <w:tc>
          <w:tcPr>
            <w:tcW w:type="dxa" w:w="64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Thoughtful extras, elegant solutions, justified deviations that improve the outcome</w:t>
            </w:r>
          </w:p>
        </w:tc>
      </w:tr>
      <w:tr>
        <w:tc>
          <w:tcPr>
            <w:tcW w:type="dxa" w:w="25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Process &amp; timeliness</w:t>
            </w:r>
          </w:p>
        </w:tc>
        <w:tc>
          <w:tcPr>
            <w:tcW w:type="dxa" w:w="9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5%</w:t>
            </w:r>
          </w:p>
        </w:tc>
        <w:tc>
          <w:tcPr>
            <w:tcW w:type="dxa" w:w="64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Deliverables on time, status reports complete, steady commit history</w:t>
            </w:r>
          </w:p>
        </w:tc>
      </w:tr>
    </w:tbl>
    <w:p>
      <w:pPr>
        <w:spacing w:after="120"/>
      </w:pPr>
    </w:p>
    <w:p>
      <w:pPr>
        <w:spacing w:after="140" w:line="300"/>
      </w:pPr>
      <w:r>
        <w:rPr>
          <w:b/>
          <w:bCs/>
          <w:color w:val="182127"/>
        </w:rPr>
        <w:t xml:space="preserve">Scoring scale (decimals allowed): </w:t>
      </w:r>
      <w:r>
        <w:t xml:space="preserve">4.0–5.0 = client-ready · 3.0–3.9 = minor polish required · 2.5–2.9 = acceptable · 2.0–2.4 = needs more preparation time · below 2.0 = did not meet the bar, significant gaps. A 2.8 is not a bad score in week 1; a 2.8 in week 5 on the same criterion signals no growth.</w:t>
      </w:r>
    </w:p>
    <w:p>
      <w:pPr>
        <w:spacing w:after="140" w:line="300"/>
      </w:pPr>
      <w:r>
        <w:rPr>
          <w:b/>
          <w:bCs/>
          <w:color w:val="182127"/>
        </w:rPr>
        <w:t xml:space="preserve">Outcome. </w:t>
      </w:r>
      <w:r>
        <w:t xml:space="preserve">Week-over-week scores, the capstone presentation, the innovation pitch, and cert progress feed a final readiness assessment: ready for client engagement, ready with mentoring, or not yet ready. This assessment is a primary input to full-time conversion decisions.</w:t>
      </w:r>
    </w:p>
    <w:p>
      <w:pPr>
        <w:pStyle w:val="Heading1"/>
      </w:pPr>
      <w:r>
        <w:t xml:space="preserve">10. AI Usage Policy</w:t>
      </w:r>
    </w:p>
    <w:p>
      <w:pPr>
        <w:spacing w:after="140" w:line="300"/>
      </w:pPr>
      <w:r>
        <w:t xml:space="preserve">You are expected to use AI tools heavily — Claude Code, Claude, OpenAI, DeepSeek. That is the job now. Three rules make it work:</w:t>
      </w:r>
    </w:p>
    <w:p>
      <w:pPr>
        <w:pStyle w:val="ListParagraph"/>
        <w:numPr>
          <w:ilvl w:val="0"/>
          <w:numId w:val="2"/>
        </w:numPr>
        <w:spacing w:after="80" w:line="280"/>
      </w:pPr>
      <w:r>
        <w:rPr>
          <w:b/>
          <w:bCs/>
          <w:color w:val="182127"/>
        </w:rPr>
        <w:t xml:space="preserve">Log it. </w:t>
      </w:r>
      <w:r>
        <w:t xml:space="preserve">Keep the AI usage log current (template provided). What you asked, what the tool produced, what you verified or changed, what you built yourself.</w:t>
      </w:r>
    </w:p>
    <w:p>
      <w:pPr>
        <w:pStyle w:val="ListParagraph"/>
        <w:numPr>
          <w:ilvl w:val="0"/>
          <w:numId w:val="2"/>
        </w:numPr>
        <w:spacing w:after="80" w:line="280"/>
      </w:pPr>
      <w:r>
        <w:rPr>
          <w:b/>
          <w:bCs/>
          <w:color w:val="182127"/>
        </w:rPr>
        <w:t xml:space="preserve">Own it. </w:t>
      </w:r>
      <w:r>
        <w:t xml:space="preserve">In demos and reviews you will be asked to explain any part of your system. 'Claude wrote that part' is not an answer. If you shipped it, you understand it.</w:t>
      </w:r>
    </w:p>
    <w:p>
      <w:pPr>
        <w:pStyle w:val="ListParagraph"/>
        <w:numPr>
          <w:ilvl w:val="0"/>
          <w:numId w:val="2"/>
        </w:numPr>
        <w:spacing w:after="80" w:line="280"/>
      </w:pPr>
      <w:r>
        <w:rPr>
          <w:b/>
          <w:bCs/>
          <w:color w:val="182127"/>
        </w:rPr>
        <w:t xml:space="preserve">Verify it. </w:t>
      </w:r>
      <w:r>
        <w:t xml:space="preserve">AI-generated architecture claims, cost figures, and API details must be verified against official documentation before they appear in your design docs. Unverified AI claims in a deliverable are an attention-to-detail deduction.</w:t>
      </w:r>
    </w:p>
    <w:p>
      <w:pPr>
        <w:pStyle w:val="Heading1"/>
      </w:pPr>
      <w:r>
        <w:t xml:space="preserve">11. Final Learning Report</w:t>
      </w:r>
    </w:p>
    <w:p>
      <w:pPr>
        <w:spacing w:after="140" w:line="300"/>
      </w:pPr>
      <w:r>
        <w:t xml:space="preserve">Due with your Innovation Pitch at the end of Week 5. This is a reflective document, 3–5 pages, covering:</w:t>
      </w:r>
    </w:p>
    <w:p>
      <w:pPr>
        <w:pStyle w:val="ListParagraph"/>
        <w:numPr>
          <w:ilvl w:val="0"/>
          <w:numId w:val="3"/>
        </w:numPr>
        <w:spacing w:after="80" w:line="280"/>
      </w:pPr>
      <w:r>
        <w:t xml:space="preserve">What you learned — technically and professionally — across the five weeks.</w:t>
      </w:r>
    </w:p>
    <w:p>
      <w:pPr>
        <w:pStyle w:val="ListParagraph"/>
        <w:numPr>
          <w:ilvl w:val="0"/>
          <w:numId w:val="3"/>
        </w:numPr>
        <w:spacing w:after="80" w:line="280"/>
      </w:pPr>
      <w:r>
        <w:t xml:space="preserve">Tech stacks you researched versus what you actually used, and what you would choose differently now.</w:t>
      </w:r>
    </w:p>
    <w:p>
      <w:pPr>
        <w:pStyle w:val="ListParagraph"/>
        <w:numPr>
          <w:ilvl w:val="0"/>
          <w:numId w:val="3"/>
        </w:numPr>
        <w:spacing w:after="80" w:line="280"/>
      </w:pPr>
      <w:r>
        <w:t xml:space="preserve">Your hardest architectural decision and how you made it.</w:t>
      </w:r>
    </w:p>
    <w:p>
      <w:pPr>
        <w:pStyle w:val="ListParagraph"/>
        <w:numPr>
          <w:ilvl w:val="0"/>
          <w:numId w:val="3"/>
        </w:numPr>
        <w:spacing w:after="80" w:line="280"/>
      </w:pPr>
      <w:r>
        <w:t xml:space="preserve">How your AI-tool usage evolved from Week 1 to Week 4.</w:t>
      </w:r>
    </w:p>
    <w:p>
      <w:pPr>
        <w:pStyle w:val="ListParagraph"/>
        <w:numPr>
          <w:ilvl w:val="0"/>
          <w:numId w:val="3"/>
        </w:numPr>
        <w:spacing w:after="80" w:line="280"/>
      </w:pPr>
      <w:r>
        <w:t xml:space="preserve">Where you want to focus next: the domains, technologies, or roles you want to grow into at DataFactZ.</w:t>
      </w:r>
    </w:p>
    <w:p>
      <w:pPr>
        <w:pStyle w:val="ListParagraph"/>
        <w:numPr>
          <w:ilvl w:val="0"/>
          <w:numId w:val="3"/>
        </w:numPr>
        <w:spacing w:after="80" w:line="280"/>
      </w:pPr>
      <w:r>
        <w:t xml:space="preserve">Certification status and your plan to complete it.</w:t>
      </w:r>
    </w:p>
    <w:p>
      <w:pPr>
        <w:pStyle w:val="Heading1"/>
      </w:pPr>
      <w:r>
        <w:t xml:space="preserve">12. Logistics &amp; Submission</w:t>
      </w:r>
    </w:p>
    <w:p>
      <w:pPr>
        <w:pStyle w:val="ListParagraph"/>
        <w:numPr>
          <w:ilvl w:val="0"/>
          <w:numId w:val="3"/>
        </w:numPr>
        <w:spacing w:after="80" w:line="280"/>
      </w:pPr>
      <w:r>
        <w:rPr>
          <w:b/>
          <w:bCs/>
          <w:color w:val="182127"/>
        </w:rPr>
        <w:t xml:space="preserve">Code: </w:t>
      </w:r>
      <w:r>
        <w:t xml:space="preserve">your private GitHub repository, one folder per use case, README per folder.</w:t>
      </w:r>
    </w:p>
    <w:p>
      <w:pPr>
        <w:pStyle w:val="ListParagraph"/>
        <w:numPr>
          <w:ilvl w:val="0"/>
          <w:numId w:val="3"/>
        </w:numPr>
        <w:spacing w:after="80" w:line="280"/>
      </w:pPr>
      <w:r>
        <w:rPr>
          <w:b/>
          <w:bCs/>
          <w:color w:val="182127"/>
        </w:rPr>
        <w:t xml:space="preserve">Documents &amp; decks: </w:t>
      </w:r>
      <w:r>
        <w:t xml:space="preserve">the shared program folder, under /&lt;your-name&gt;/week-N/. File naming: UC1_SolutionDesign_&lt;YourName&gt;.docx and similar.</w:t>
      </w:r>
    </w:p>
    <w:p>
      <w:pPr>
        <w:pStyle w:val="ListParagraph"/>
        <w:numPr>
          <w:ilvl w:val="0"/>
          <w:numId w:val="3"/>
        </w:numPr>
        <w:spacing w:after="80" w:line="280"/>
      </w:pPr>
      <w:r>
        <w:rPr>
          <w:b/>
          <w:bCs/>
          <w:color w:val="182127"/>
        </w:rPr>
        <w:t xml:space="preserve">Status reports: </w:t>
      </w:r>
      <w:r>
        <w:t xml:space="preserve">due Thursday 6:00 PM each week, in your shared folder.</w:t>
      </w:r>
    </w:p>
    <w:p>
      <w:pPr>
        <w:pStyle w:val="ListParagraph"/>
        <w:numPr>
          <w:ilvl w:val="0"/>
          <w:numId w:val="3"/>
        </w:numPr>
        <w:spacing w:after="80" w:line="280"/>
      </w:pPr>
      <w:r>
        <w:rPr>
          <w:b/>
          <w:bCs/>
          <w:color w:val="182127"/>
        </w:rPr>
        <w:t xml:space="preserve">Friday demos: </w:t>
      </w:r>
      <w:r>
        <w:t xml:space="preserve">10–15 minutes: 2 min problem, 4 min architecture and key decisions, 5 min live demo, remainder Q&amp;A. Practice the timing.</w:t>
      </w:r>
    </w:p>
    <w:p>
      <w:pPr>
        <w:pStyle w:val="ListParagraph"/>
        <w:numPr>
          <w:ilvl w:val="0"/>
          <w:numId w:val="3"/>
        </w:numPr>
        <w:spacing w:after="80" w:line="280"/>
      </w:pPr>
      <w:r>
        <w:rPr>
          <w:b/>
          <w:bCs/>
          <w:color w:val="182127"/>
        </w:rPr>
        <w:t xml:space="preserve">Questions: </w:t>
      </w:r>
      <w:r>
        <w:t xml:space="preserve">ask early. Asking a sharp question after trying something is a positive signal; being silently stuck for two days is not.</w:t>
      </w:r>
    </w:p>
    <w:p>
      <w:pPr>
        <w:spacing w:after="120"/>
      </w:pPr>
    </w:p>
    <w:tbl>
      <w:tblPr>
        <w:tblW w:type="dxa" w:w="9880"/>
        <w:tblBorders>
          <w:top w:val="single" w:color="D9E2EC" w:sz="4"/>
          <w:left w:val="single" w:color="FC7900" w:sz="24"/>
          <w:bottom w:val="single" w:color="D9E2EC" w:sz="4"/>
          <w:right w:val="single" w:color="D9E2EC" w:sz="4"/>
          <w:insideH w:val="none"/>
          <w:insideV w:val="none"/>
        </w:tblBorders>
      </w:tblPr>
      <w:tblGrid>
        <w:gridCol w:w="9880"/>
      </w:tblGrid>
      <w:tr>
        <w:tc>
          <w:tcPr>
            <w:tcW w:type="dxa" w:w="9880"/>
            <w:shd w:fill="FFF7EF" w:val="clear"/>
            <w:tcMar>
              <w:top w:type="dxa" w:w="140"/>
              <w:left w:type="dxa" w:w="200"/>
              <w:bottom w:type="dxa" w:w="140"/>
              <w:right w:type="dxa" w:w="200"/>
            </w:tcMar>
          </w:tcPr>
          <w:p>
            <w:pPr>
              <w:spacing w:after="60"/>
            </w:pPr>
            <w:r>
              <w:rPr>
                <w:b/>
                <w:bCs/>
                <w:color w:val="182127"/>
                <w:sz w:val="21"/>
                <w:szCs w:val="21"/>
              </w:rPr>
              <w:t xml:space="preserve">A final word</w:t>
            </w:r>
          </w:p>
          <w:p>
            <w:pPr>
              <w:spacing w:after="0" w:line="280"/>
            </w:pPr>
            <w:r>
              <w:rPr>
                <w:sz w:val="21"/>
                <w:szCs w:val="21"/>
              </w:rPr>
              <w:t xml:space="preserve">Five weeks is short, and that is the point. Client engagements have deadlines that do not move. Use AI tools aggressively, protect quality ruthlessly, ask for help early, and show us how you think — not just what you can generate. We are looking forward to what you build — and what you pitch.</w:t>
            </w:r>
          </w:p>
        </w:tc>
      </w:tr>
    </w:tbl>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rPr>
        <w:color w:val="FC7900"/>
      </w:rPr>
    </w:lvl>
    <w:lvl w:ilvl="1" w15:tentative="1">
      <w:start w:val="1"/>
      <w:numFmt w:val="bullet"/>
      <w:lvlText w:val="–"/>
      <w:lvlJc w:val="left"/>
      <w:pPr>
        <w:ind w:left="760" w:hanging="210"/>
      </w:pPr>
      <w:rPr>
        <w:color w:val="5B6B7B"/>
      </w:rPr>
    </w:lvl>
  </w:abstractNum>
  <w:abstractNum w:abstractNumId="3" w15:restartNumberingAfterBreak="0">
    <w:multiLevelType w:val="hybridMultilevel"/>
    <w:lvl w:ilvl="0" w15:tentative="1">
      <w:start w:val="1"/>
      <w:numFmt w:val="decimal"/>
      <w:lvlText w:val="%1."/>
      <w:lvlJc w:val="left"/>
      <w:pPr>
        <w:ind w:left="420" w:hanging="300"/>
      </w:pPr>
      <w:rPr>
        <w:b/>
        <w:bCs/>
        <w:color w:val="18212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300"/>
    </w:pPr>
    <w:rPr>
      <w:rFonts w:ascii="Inter" w:cs="Inter" w:eastAsia="Inter" w:hAnsi="Inter"/>
      <w:color w:val="1F2933"/>
      <w:sz w:val="21"/>
      <w:szCs w:val="21"/>
    </w:rPr>
  </w:style>
  <w:style w:type="paragraph" w:styleId="Heading1">
    <w:name w:val="Heading 1"/>
    <w:basedOn w:val="Normal"/>
    <w:next w:val="Normal"/>
    <w:qFormat/>
    <w:pPr>
      <w:pBdr>
        <w:bottom w:val="single" w:color="FC7900" w:sz="12" w:space="4"/>
      </w:pBdr>
      <w:spacing w:after="160" w:before="360"/>
      <w:outlineLvl w:val="0"/>
    </w:pPr>
    <w:rPr>
      <w:rFonts w:ascii="Inter" w:cs="Inter" w:eastAsia="Inter" w:hAnsi="Inter"/>
      <w:b/>
      <w:bCs/>
      <w:color w:val="182127"/>
      <w:sz w:val="34"/>
      <w:szCs w:val="34"/>
    </w:rPr>
  </w:style>
  <w:style w:type="paragraph" w:styleId="Heading2">
    <w:name w:val="Heading 2"/>
    <w:basedOn w:val="Normal"/>
    <w:next w:val="Normal"/>
    <w:qFormat/>
    <w:pPr>
      <w:spacing w:after="120" w:before="280"/>
      <w:outlineLvl w:val="1"/>
    </w:pPr>
    <w:rPr>
      <w:rFonts w:ascii="Inter" w:cs="Inter" w:eastAsia="Inter" w:hAnsi="Inter"/>
      <w:b/>
      <w:bCs/>
      <w:color w:val="FC7900"/>
      <w:sz w:val="26"/>
      <w:szCs w:val="26"/>
    </w:rPr>
  </w:style>
  <w:style w:type="paragraph" w:styleId="Heading3">
    <w:name w:val="Heading 3"/>
    <w:basedOn w:val="Normal"/>
    <w:next w:val="Normal"/>
    <w:qFormat/>
    <w:pPr>
      <w:spacing w:after="100" w:before="220"/>
      <w:outlineLvl w:val="2"/>
    </w:pPr>
    <w:rPr>
      <w:rFonts w:ascii="Inter" w:cs="Inter" w:eastAsia="Inter" w:hAnsi="Inter"/>
      <w:b/>
      <w:bCs/>
      <w:color w:val="1821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DataFactZ AI Engineering Internship Program Handbook</dc:title>
  <dc:creator>DataFactZ</dc:creator>
  <cp:lastModifiedBy>Un-named</cp:lastModifiedBy>
  <cp:revision>1</cp:revision>
  <dcterms:created xsi:type="dcterms:W3CDTF">2026-07-14T19:13:28.740Z</dcterms:created>
  <dcterms:modified xsi:type="dcterms:W3CDTF">2026-07-14T19:13:28.741Z</dcterms:modified>
</cp:coreProperties>
</file>

<file path=docProps/custom.xml><?xml version="1.0" encoding="utf-8"?>
<Properties xmlns="http://schemas.openxmlformats.org/officeDocument/2006/custom-properties" xmlns:vt="http://schemas.openxmlformats.org/officeDocument/2006/docPropsVTypes"/>
</file>