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60"/>
        <w:jc w:val="left"/>
      </w:pPr>
      <w:r>
        <w:rPr>
          <w:b/>
          <w:bCs/>
          <w:color w:val="182127"/>
          <w:sz w:val="40"/>
          <w:szCs w:val="40"/>
        </w:rPr>
        <w:t xml:space="preserve">Data</w:t>
      </w:r>
      <w:r>
        <w:rPr>
          <w:b/>
          <w:bCs/>
          <w:color w:val="FC7900"/>
          <w:sz w:val="40"/>
          <w:szCs w:val="40"/>
        </w:rPr>
        <w:t xml:space="preserve">FactZ</w:t>
      </w:r>
    </w:p>
    <w:p>
      <w:pPr>
        <w:spacing w:after="900"/>
      </w:pPr>
      <w:r>
        <w:rPr>
          <w:i/>
          <w:iCs/>
          <w:color w:val="5B6B7B"/>
          <w:sz w:val="20"/>
          <w:szCs w:val="20"/>
        </w:rPr>
        <w:t xml:space="preserve">An AI-first company with a client-first approach</w:t>
      </w:r>
    </w:p>
    <w:p>
      <w:pPr>
        <w:spacing w:after="200" w:line="276"/>
      </w:pPr>
      <w:r>
        <w:rPr>
          <w:b/>
          <w:bCs/>
          <w:color w:val="182127"/>
          <w:sz w:val="52"/>
          <w:szCs w:val="52"/>
        </w:rPr>
        <w:t xml:space="preserve">Use Case 3 — Breach Analytics at Scale</w:t>
      </w:r>
    </w:p>
    <w:p>
      <w:pPr>
        <w:pBdr>
          <w:bottom w:val="single" w:color="FC7900" w:sz="18" w:space="10"/>
        </w:pBdr>
        <w:spacing w:after="1400"/>
      </w:pPr>
      <w:r>
        <w:rPr>
          <w:color w:val="FC7900"/>
          <w:sz w:val="28"/>
          <w:szCs w:val="28"/>
        </w:rPr>
        <w:t xml:space="preserve">Weeks 3–4 · Your Stack, Justified · Agentic Document Intelligence &amp; Entity Resolution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Program   </w:t>
      </w:r>
      <w:r>
        <w:rPr>
          <w:color w:val="5B6B7B"/>
          <w:sz w:val="20"/>
          <w:szCs w:val="20"/>
        </w:rPr>
        <w:t xml:space="preserve">DataFactZ AI Engineering Internship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Duration   </w:t>
      </w:r>
      <w:r>
        <w:rPr>
          <w:color w:val="5B6B7B"/>
          <w:sz w:val="20"/>
          <w:szCs w:val="20"/>
        </w:rPr>
        <w:t xml:space="preserve">Week 3 (design) + Week 4 (build, capstone demo)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Required stack   </w:t>
      </w:r>
      <w:r>
        <w:rPr>
          <w:color w:val="5B6B7B"/>
          <w:sz w:val="20"/>
          <w:szCs w:val="20"/>
        </w:rPr>
        <w:t xml:space="preserve">Azure or open source — your written justification decides</w:t>
      </w:r>
    </w:p>
    <w:p>
      <w:r>
        <w:br w:type="page"/>
      </w:r>
    </w:p>
    <w:p>
      <w:pPr>
        <w:pStyle w:val="Heading1"/>
      </w:pPr>
      <w:r>
        <w:t xml:space="preserve">1. Scenario</w:t>
      </w:r>
    </w:p>
    <w:p>
      <w:pPr>
        <w:spacing w:after="140" w:line="300"/>
      </w:pPr>
      <w:r>
        <w:t xml:space="preserve">This is the capstone, and it is a real engagement type DataFactZ delivers repeatedly. A client has suffered a data breach. A large, messy dump of files — emails, PDFs, scans, spreadsheets, exports, Word documents — may contain personal information about thousands of individuals. Legal and compliance teams need one answer, fast and defensibly: who is affected, and what of theirs was exposed? That answer drives breach-notification obligations, regulatory reporting, and remediation.</w:t>
      </w:r>
    </w:p>
    <w:p>
      <w:pPr>
        <w:spacing w:after="140" w:line="300"/>
      </w:pPr>
      <w:r>
        <w:t xml:space="preserve">You will build the system that produces that answer: an end-to-end breach analytics platform that ingests a heterogeneous document corpus, extracts personal data elements, resolves them to unique individuals, and produces a clear, reviewable exposure table.</w:t>
      </w:r>
    </w:p>
    <w:tbl>
      <w:tblPr>
        <w:tblW w:type="dxa" w:w="9880"/>
        <w:tblBorders>
          <w:top w:val="single" w:color="D9E2EC" w:sz="4"/>
          <w:left w:val="single" w:color="FC7900" w:sz="24"/>
          <w:bottom w:val="single" w:color="D9E2EC" w:sz="4"/>
          <w:right w:val="single" w:color="D9E2EC" w:sz="4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FF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82127"/>
                <w:sz w:val="21"/>
                <w:szCs w:val="21"/>
              </w:rPr>
              <w:t xml:space="preserve">Data safety rule — no exceptions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Every document and every identity in this project is synthetic. You will generate your corpus programmatically (Section 3). Never use real personal data — not your own, not colleagues', not scraped, not from prior engagements. A single real identifier in your corpus is an automatic integrity finding.</w:t>
            </w:r>
          </w:p>
        </w:tc>
      </w:tr>
    </w:tbl>
    <w:p>
      <w:pPr>
        <w:pStyle w:val="Heading1"/>
      </w:pPr>
      <w:r>
        <w:t xml:space="preserve">2. The End Goal — the Exposure Table</w:t>
      </w:r>
    </w:p>
    <w:p>
      <w:pPr>
        <w:spacing w:after="140" w:line="300"/>
      </w:pPr>
      <w:r>
        <w:t xml:space="preserve">The primary output is a denormalized table: one row per unique individual, with flags for each category of exposed data. This is what a client's legal team consumes, so it must be complete, deduplicated, and defensible. At minimum: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2400"/>
        <w:gridCol w:w="7480"/>
      </w:tblGrid>
      <w:tr>
        <w:trPr>
          <w:tblHeader/>
        </w:trPr>
        <w:tc>
          <w:tcPr>
            <w:tcW w:type="dxa" w:w="24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group</w:t>
            </w:r>
          </w:p>
        </w:tc>
        <w:tc>
          <w:tcPr>
            <w:tcW w:type="dxa" w:w="74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Identity</w:t>
            </w:r>
          </w:p>
        </w:tc>
        <w:tc>
          <w:tcPr>
            <w:tcW w:type="dxa" w:w="74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Person ID, best-known full name, known aliases/variants, date of birth (if found)</w:t>
            </w:r>
          </w:p>
        </w:tc>
      </w:tr>
      <w:tr>
        <w:tc>
          <w:tcPr>
            <w:tcW w:type="dxa" w:w="24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Exposure flags</w:t>
            </w:r>
          </w:p>
        </w:tc>
        <w:tc>
          <w:tcPr>
            <w:tcW w:type="dxa" w:w="74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One boolean per category — e.g., SSN/national ID, date of birth, driver's license, passport, financial account, credit/debit card, medical/health, login credentials, home address, phone, email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Evidence</w:t>
            </w:r>
          </w:p>
        </w:tc>
        <w:tc>
          <w:tcPr>
            <w:tcW w:type="dxa" w:w="74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Count of source documents, document references per flag (clickable in the UI to view the exact passage)</w:t>
            </w:r>
          </w:p>
        </w:tc>
      </w:tr>
      <w:tr>
        <w:tc>
          <w:tcPr>
            <w:tcW w:type="dxa" w:w="24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Quality</w:t>
            </w:r>
          </w:p>
        </w:tc>
        <w:tc>
          <w:tcPr>
            <w:tcW w:type="dxa" w:w="74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Confidence per flag, entity-resolution confidence, review status (auto-accepted / human-reviewed)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  <w:color w:val="182127"/>
        </w:rPr>
        <w:t xml:space="preserve">Defensibility is the bar. </w:t>
      </w:r>
      <w:r>
        <w:t xml:space="preserve">Every flag must trace to specific evidence in specific documents. A flag that cannot show its source passage is worthless in front of a regulator — and scores accordingly.</w:t>
      </w:r>
    </w:p>
    <w:p>
      <w:pPr>
        <w:pStyle w:val="Heading1"/>
      </w:pPr>
      <w:r>
        <w:t xml:space="preserve">3. Build Your Own Corpus — with an Answer Key</w:t>
      </w:r>
    </w:p>
    <w:p>
      <w:pPr>
        <w:spacing w:after="140" w:line="300"/>
      </w:pPr>
      <w:r>
        <w:t xml:space="preserve">You will write a corpus generator: a program that produces the synthetic breach dump and a ground-truth manifest recording exactly which identities and data elements were planted in which documents. The manifest is your answer key — it is how you (and we) measure your system's accuracy. The generator is a scored deliverable in its own right.</w:t>
      </w:r>
    </w:p>
    <w:p>
      <w:pPr>
        <w:pStyle w:val="Heading2"/>
      </w:pPr>
      <w:r>
        <w:t xml:space="preserve">3.1 Corpus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Scale: </w:t>
      </w:r>
      <w:r>
        <w:t xml:space="preserve">500+ documents, 150+ unique synthetic individuals.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File types (minimum six): </w:t>
      </w:r>
      <w:r>
        <w:t xml:space="preserve">digital PDF, scanned/image-based PDF, DOCX, XLSX or CSV exports, email files (EML/MSG) with attachments, plus at least one more (HTML, TXT, PNG screenshots).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Realistic mess: </w:t>
      </w:r>
      <w:r>
        <w:t xml:space="preserve">PII appears in prose, in tables, in email signatures, in spreadsheet cells, and inside scanned images — not neatly labeled.</w:t>
      </w:r>
    </w:p>
    <w:p>
      <w:pPr>
        <w:pStyle w:val="Heading2"/>
      </w:pPr>
      <w:r>
        <w:t xml:space="preserve">3.2 Required edge cases (plant them deliberately)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same person under different names: nicknames (Bob/Robert), maiden names, initials, misspellings, name order variations.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Different people who share a name — your entity resolution must not merge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Partial identifiers: an SSN in one document, the matching name only in another; last-4-digits references.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Multi-person documents: one spreadsheet exposing 80 people at once.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False-positive traps: order numbers that look like SSNs, employee email signatures, fictional 'test' records, template placeholders.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Problem files: password-protected, corrupt, zero-byte, wrong extension, an image of a spreadsheet.</w:t>
      </w:r>
    </w:p>
    <w:p>
      <w:pPr>
        <w:pStyle w:val="Heading1"/>
      </w:pPr>
      <w:r>
        <w:t xml:space="preserve">4. Functional Requirements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Ingestion &amp; triage. </w:t>
      </w:r>
      <w:r>
        <w:t xml:space="preserve">Point the system at the corpus; it inventories, classifies by type, routes to the right parser, and quarantines problem files with reasons — nothing silently dropped.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Multi-format parsing. </w:t>
      </w:r>
      <w:r>
        <w:t xml:space="preserve">Text extraction and OCR across all corpus file types, including attachments inside emails.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PII extraction. </w:t>
      </w:r>
      <w:r>
        <w:t xml:space="preserve">Detect and classify personal data elements with validated structured output (Pydantic). Combine deterministic detectors (regex/checksums for SSN, card numbers with Luhn) with LLM extraction for context-dependent elements — and know which to use when.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Entity resolution. </w:t>
      </w:r>
      <w:r>
        <w:t xml:space="preserve">Link every extracted element to a unique individual across all documents, handling the planted name variants and shared-name traps. Merges and splits must be explainable.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The exposure table. </w:t>
      </w:r>
      <w:r>
        <w:t xml:space="preserve">The Section 2 table, in a database, exportable to CSV/XLSX, browsable in the UI with per-flag evidence drill-down.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Human review queue. </w:t>
      </w:r>
      <w:r>
        <w:t xml:space="preserve">Low-confidence extractions and uncertain entity matches route to a review screen; reviewer decisions are stored and reflected in the table.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Accuracy measurement. </w:t>
      </w:r>
      <w:r>
        <w:t xml:space="preserve">Score your system against your manifest: person-level recall and precision, and per-category flag accuracy. Report the numbers and your error analysis in the design doc — they will come up in Q&amp;A.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Dashboard UI. </w:t>
      </w:r>
      <w:r>
        <w:t xml:space="preserve">DataFactZ-branded: corpus processing status, exposure table with filters and search, person detail view with evidence, review queue, and run cost so far.</w:t>
      </w:r>
    </w:p>
    <w:p>
      <w:pPr>
        <w:pStyle w:val="Heading1"/>
      </w:pPr>
      <w:r>
        <w:t xml:space="preserve">5. Where Agents Earn Their Keep</w:t>
      </w:r>
    </w:p>
    <w:p>
      <w:pPr>
        <w:spacing w:after="140" w:line="300"/>
      </w:pPr>
      <w:r>
        <w:t xml:space="preserve">This system should NOT be one big agent. The bulk path — parse, extract, flag — is a deterministic pipeline: cheaper, faster, testable. The agentic layer belongs where judgment and iteration are required. Your architecture must include, at minimum: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Orchestrator/planner </w:t>
      </w:r>
      <w:r>
        <w:t xml:space="preserve">that surveys the corpus, plans the processing campaign, tracks progress, and adapts (e.g., reprioritizing when a file class fails at high rates).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Exception investigator </w:t>
      </w:r>
      <w:r>
        <w:t xml:space="preserve">— an agent that picks up quarantined files and ambiguous cases, tries alternative strategies (different parser, OCR retry, vision model on the page image), and either resolves or escalates to a human with a diagnosis.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Entity-resolution adjudicator </w:t>
      </w:r>
      <w:r>
        <w:t xml:space="preserve">— when the deterministic matcher is unsure whether two records are the same person, an agent investigates: gathers both evidence sets, reasons over them, and issues an explained merge/split/escalate decision.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QA auditor </w:t>
      </w:r>
      <w:r>
        <w:t xml:space="preserve">— independently samples completed results, re-verifies flags against source passages, and reports a measured error estimate. Verification must be structural, not vibes.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Program-standard agent hygiene: </w:t>
      </w:r>
      <w:r>
        <w:t xml:space="preserve">human approval gates on consequential actions (bulk merges, final sign-off), hard budgets on steps/tokens/spend, full run traces (every step, tool call, tokens, latency, cost) inspectable in the UI, and a forced-failure demonstration in your demo.</w:t>
      </w:r>
    </w:p>
    <w:p>
      <w:pPr>
        <w:spacing w:after="140" w:line="300"/>
      </w:pPr>
      <w:r>
        <w:t xml:space="preserve">Tool use may be native function calling or MCP — a well-designed MCP tool surface maps directly to the CCA-F exam's Tool Design &amp; MCP domain and earns architecture credit.</w:t>
      </w:r>
    </w:p>
    <w:p>
      <w:pPr>
        <w:pStyle w:val="Heading1"/>
      </w:pPr>
      <w:r>
        <w:t xml:space="preserve">6. Cost Engineering — a First-Class Requirement</w:t>
      </w:r>
    </w:p>
    <w:p>
      <w:pPr>
        <w:spacing w:after="140" w:line="300"/>
      </w:pPr>
      <w:r>
        <w:t xml:space="preserve">Real breach engagements involve hundreds of thousands of documents; LLM cost is the difference between winning and losing the deal. Your design doc must include a cost section with real measurements, not hand-waving: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Tiered routing: </w:t>
      </w:r>
      <w:r>
        <w:t xml:space="preserve">deterministic detectors first (free), a cheap model for routine documents (DeepSeek is worth testing here), escalation to a stronger model only where confidence demands it. Report your routing rules and hit rates.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Measured cost: </w:t>
      </w:r>
      <w:r>
        <w:t xml:space="preserve">actual cost to process your 500-document corpus, extrapolated to 100K and 1M documents, broken down by tier.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The cost/accuracy curve: </w:t>
      </w:r>
      <w:r>
        <w:t xml:space="preserve">what accuracy do you lose at the cheap end? Show at least two configurations with measured accuracy and cost, and recommend one like a consultant would.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Waste control: </w:t>
      </w:r>
      <w:r>
        <w:t xml:space="preserve">caching, batching, deduplicating identical attachments, skipping non-text binaries — show what you did and what it saved.</w:t>
      </w:r>
    </w:p>
    <w:p>
      <w:pPr>
        <w:pStyle w:val="Heading1"/>
      </w:pPr>
      <w:r>
        <w:t xml:space="preserve">7. The Stack Decision</w:t>
      </w:r>
    </w:p>
    <w:p>
      <w:pPr>
        <w:spacing w:after="140" w:line="300"/>
      </w:pPr>
      <w:r>
        <w:t xml:space="preserve">The stack is yours — Azure or open source, any LLM mix, agent framework or hand-rolled orchestration. Section 1 of your design doc must justify: orchestration approach (framework such as LangGraph or the Claude Agent SDK vs your own loop), model selection per tier, and infrastructure — each with at least two rejected alternatives. This section is graded hardest. Whatever you choose, the full-stack engineering standards in Handbook Section 6.2 apply: versioned REST API, a real relational schema (documents, extractions, persons, identity links, flags, review decisions) with migrations and an ERD, layered code, and a scalability section covering the 100K-document scenario.</w:t>
      </w:r>
    </w:p>
    <w:p>
      <w:pPr>
        <w:pStyle w:val="Heading1"/>
      </w:pPr>
      <w:r>
        <w:t xml:space="preserve">8. Two-Week Plan with Design Gate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2300"/>
        <w:gridCol w:w="7580"/>
      </w:tblGrid>
      <w:tr>
        <w:trPr>
          <w:tblHeader/>
        </w:trPr>
        <w:tc>
          <w:tcPr>
            <w:tcW w:type="dxa" w:w="23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5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due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Mon Week 3</w:t>
            </w:r>
          </w:p>
        </w:tc>
        <w:tc>
          <w:tcPr>
            <w:tcW w:type="dxa" w:w="7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Kickoff; corpus generator design agreed</w:t>
            </w:r>
          </w:p>
        </w:tc>
      </w:tr>
      <w:tr>
        <w:tc>
          <w:tcPr>
            <w:tcW w:type="dxa" w:w="23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Fri Week 3 — DESIGN REVIEW</w:t>
            </w:r>
          </w:p>
        </w:tc>
        <w:tc>
          <w:tcPr>
            <w:tcW w:type="dxa" w:w="75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Complete design package: problem statement, full design doc (architecture, ERD, pipeline-vs-agent boundary, cost strategy), architecture diagram, stack justification, corpus generator working with manifest, risk list, week-4 build plan. Presented in the Friday slot. You may prototype during week 3, but the design package is what is scored.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Mon Week 4</w:t>
            </w:r>
          </w:p>
        </w:tc>
        <w:tc>
          <w:tcPr>
            <w:tcW w:type="dxa" w:w="7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Design feedback incorporated; build sprint begins</w:t>
            </w:r>
          </w:p>
        </w:tc>
      </w:tr>
      <w:tr>
        <w:tc>
          <w:tcPr>
            <w:tcW w:type="dxa" w:w="23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Thu Week 4</w:t>
            </w:r>
          </w:p>
        </w:tc>
        <w:tc>
          <w:tcPr>
            <w:tcW w:type="dxa" w:w="75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Feature freeze; final status report due 6:00 PM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Fri Week 4 — CAPSTONE</w:t>
            </w:r>
          </w:p>
        </w:tc>
        <w:tc>
          <w:tcPr>
            <w:tcW w:type="dxa" w:w="7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Final presentation (20 min + 10 min Q&amp;A): the full journey across all three use cases, live demo including a forced failure and the review queue, accuracy results vs your manifest, and the cost analysis. Your Innovation Pitch idea one-pager is also due today (see the Week 5 brief)</w:t>
            </w:r>
          </w:p>
        </w:tc>
      </w:tr>
    </w:tbl>
    <w:p>
      <w:pPr>
        <w:spacing w:after="120"/>
      </w:pPr>
    </w:p>
    <w:tbl>
      <w:tblPr>
        <w:tblW w:type="dxa" w:w="9880"/>
        <w:tblBorders>
          <w:top w:val="single" w:color="D9E2EC" w:sz="4"/>
          <w:left w:val="single" w:color="FC7900" w:sz="24"/>
          <w:bottom w:val="single" w:color="D9E2EC" w:sz="4"/>
          <w:right w:val="single" w:color="D9E2EC" w:sz="4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FF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82127"/>
                <w:sz w:val="21"/>
                <w:szCs w:val="21"/>
              </w:rPr>
              <w:t xml:space="preserve">Why the design gate matters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In client work, you defend a design before anyone funds the build. Week 3 Friday is exactly that. Reviewers will push hardest on three things: where you drew the pipeline-vs-agent boundary and why, how entity resolution handles the shared-name trap, and what processing a million documents costs under your design.</w:t>
            </w:r>
          </w:p>
        </w:tc>
      </w:tr>
    </w:tbl>
    <w:p>
      <w:pPr>
        <w:pStyle w:val="Heading1"/>
      </w:pPr>
      <w:r>
        <w:t xml:space="preserve">9. Deliverables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3600"/>
        <w:gridCol w:w="6280"/>
      </w:tblGrid>
      <w:tr>
        <w:trPr>
          <w:tblHeader/>
        </w:trPr>
        <w:tc>
          <w:tcPr>
            <w:tcW w:type="dxa" w:w="36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Problem statement (1 page)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Business framing, user, success criteria, out of scope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Solution design document (4–8 pages)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Architecture, components, data flow, database ERD, API surface, pipeline-vs-agent boundary with reasoning, security, and 'what changes at 100x load' scalability section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Clean, labeled, self-explanatory (draw.io / Excalidraw / Mermaid)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Stack justification (design doc §1)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Orchestration, models per tier, infra — each with 2+ rejected alternatives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Corpus generator + manifest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Reproducible generator meeting Section 3; manifest documents every planted identity, element, and edge case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Working demo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End to end: ingest → exposure table → evidence drill-down → review queue. Error-handled; nothing silently dropped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Accuracy report (in design doc)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Person-level recall/precision and per-flag accuracy vs manifest, with error analysis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Cost report (in design doc)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Measured corpus cost, 100K/1M extrapolation, cost/accuracy curve, recommended configuration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Branded UI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DataFactZ brand standards, consistent with your first two apps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Run traces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At least three: a clean run, a recovered failure, a run hitting a budget/approval gate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Presentation deck (10–15 slides)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Problem → architecture → decisions → demo → accuracy &amp; cost → lessons learned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AI usage log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Current through the capstone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Innovation idea one-pager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Due Friday Week 4 — your Week 5 pitch topic (see the Week 5 Innovation Pitch brief)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Stretch Goals (only if core is solid)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Incremental processing: add 100 new documents to a completed run and reprocess only what is needed, updating the exposure table without a full rerun.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Active learning: reviewer corrections automatically improve extraction or matching (few-shot examples, threshold tuning); show measured before/after accuracy.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Notification-readiness export: per-jurisdiction grouping of affected individuals with the exposed-category combinations that trigger notification.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Multilingual documents in the corpus, with measured extraction accuracy per language.</w:t>
      </w:r>
    </w:p>
    <w:p>
      <w:pPr>
        <w:spacing w:after="120"/>
      </w:pPr>
    </w:p>
    <w:tbl>
      <w:tblPr>
        <w:tblW w:type="dxa" w:w="9880"/>
        <w:tblBorders>
          <w:top w:val="single" w:color="D9E2EC" w:sz="4"/>
          <w:left w:val="single" w:color="FC7900" w:sz="24"/>
          <w:bottom w:val="single" w:color="D9E2EC" w:sz="4"/>
          <w:right w:val="single" w:color="D9E2EC" w:sz="4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FF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82127"/>
                <w:sz w:val="21"/>
                <w:szCs w:val="21"/>
              </w:rPr>
              <w:t xml:space="preserve">How this week is scored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All nine rubric criteria apply (Handbook Section 9). The heaviest weights are architectural reasoning (20%), technical implementation (20%), and attention to detail (15%). The pipeline-vs-agent boundary, the entity-resolution design, and the honesty of your accuracy and cost numbers are where reasoning scores are won and lost.</w:t>
            </w:r>
          </w:p>
        </w:tc>
      </w:tr>
    </w:tbl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FC7900"/>
      </w:rPr>
    </w:lvl>
    <w:lvl w:ilvl="1" w15:tentative="1">
      <w:start w:val="1"/>
      <w:numFmt w:val="bullet"/>
      <w:lvlText w:val="–"/>
      <w:lvlJc w:val="left"/>
      <w:pPr>
        <w:ind w:left="760" w:hanging="210"/>
      </w:pPr>
      <w:rPr>
        <w:color w:val="5B6B7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8212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00"/>
    </w:pPr>
    <w:rPr>
      <w:rFonts w:ascii="Inter" w:cs="Inter" w:eastAsia="Inter" w:hAnsi="Inter"/>
      <w:color w:val="1F2933"/>
      <w:sz w:val="21"/>
      <w:szCs w:val="21"/>
    </w:rPr>
  </w:style>
  <w:style w:type="paragraph" w:styleId="Heading1">
    <w:name w:val="Heading 1"/>
    <w:basedOn w:val="Normal"/>
    <w:next w:val="Normal"/>
    <w:qFormat/>
    <w:pPr>
      <w:pBdr>
        <w:bottom w:val="single" w:color="FC7900" w:sz="12" w:space="4"/>
      </w:pBdr>
      <w:spacing w:after="160" w:before="360"/>
      <w:outlineLvl w:val="0"/>
    </w:pPr>
    <w:rPr>
      <w:rFonts w:ascii="Inter" w:cs="Inter" w:eastAsia="Inter" w:hAnsi="Inter"/>
      <w:b/>
      <w:bCs/>
      <w:color w:val="1821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FC7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Inter" w:cs="Inter" w:eastAsia="Inter" w:hAnsi="Inter"/>
      <w:b/>
      <w:bCs/>
      <w:color w:val="1821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3 — Breach Analytics at Scale</dc:title>
  <dc:creator>DataFactZ</dc:creator>
  <cp:lastModifiedBy>Un-named</cp:lastModifiedBy>
  <cp:revision>1</cp:revision>
  <dcterms:created xsi:type="dcterms:W3CDTF">2026-07-14T19:13:28.923Z</dcterms:created>
  <dcterms:modified xsi:type="dcterms:W3CDTF">2026-07-14T19:13:28.923Z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