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Contoso Corp Data Privacy and Confidentiality Policy</w:t>
      </w:r>
    </w:p>
    <w:p>
      <w:pPr>
        <w:pStyle w:val="Heading1"/>
      </w:pPr>
      <w:r>
        <w:t>Scope</w:t>
      </w:r>
    </w:p>
    <w:p>
      <w:r>
        <w:t>This policy governs how Contoso employees handle confidential company information, employee personal data, and customer data encountered in the course of their work.</w:t>
      </w:r>
    </w:p>
    <w:p>
      <w:pPr>
        <w:pStyle w:val="Heading1"/>
      </w:pPr>
      <w:r>
        <w:t>Categories of Protected Data</w:t>
      </w:r>
    </w:p>
    <w:p>
      <w:r>
        <w:t>Protected data includes customer account information, unreleased product plans, employee compensation and health data, and financial results before public disclosure. Each category carries its own handling requirements described in the internal data classification standard.</w:t>
      </w:r>
    </w:p>
    <w:p>
      <w:pPr>
        <w:pStyle w:val="Heading1"/>
      </w:pPr>
      <w:r>
        <w:t>Employee Confidentiality Obligations</w:t>
      </w:r>
    </w:p>
    <w:p>
      <w:r>
        <w:t>Employees may access confidential data only as needed for their role, and must not discuss it outside of Contoso, including with family members or on social media. This obligation continues after employment ends.</w:t>
      </w:r>
    </w:p>
    <w:p>
      <w:pPr>
        <w:pStyle w:val="Heading1"/>
      </w:pPr>
      <w:r>
        <w:t>Customer Data Handling</w:t>
      </w:r>
    </w:p>
    <w:p>
      <w:r>
        <w:t>Customer data may be used only for the purpose the customer authorized, and access is logged and periodically audited. Any request from a customer to delete their data is routed to the Privacy Office rather than handled ad hoc by individual employees.</w:t>
      </w:r>
    </w:p>
    <w:p>
      <w:pPr>
        <w:pStyle w:val="Heading1"/>
      </w:pPr>
      <w:r>
        <w:t>Data Retention and Disposal</w:t>
      </w:r>
    </w:p>
    <w:p>
      <w:r>
        <w:t>Data is retained only as long as required for business or legal purposes, per the records retention schedule maintained by Legal, and is disposed of using secure deletion methods once that period ends.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