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Parental and Family Leave Policy</w:t>
      </w:r>
    </w:p>
    <w:p>
      <w:pPr>
        <w:pStyle w:val="Heading1"/>
      </w:pPr>
      <w:r>
        <w:t>Eligibility</w:t>
      </w:r>
    </w:p>
    <w:p>
      <w:r>
        <w:t>Parental leave under this policy is available to any employee who has completed at least 6 months of continuous service at the time of the qualifying birth, adoption, or foster placement. Family and Medical Leave eligibility follows the criteria described later in this policy.</w:t>
      </w:r>
    </w:p>
    <w:p>
      <w:pPr>
        <w:pStyle w:val="Heading1"/>
      </w:pPr>
      <w:r>
        <w:t>Birth Parent Leave</w:t>
      </w:r>
    </w:p>
    <w:p>
      <w:r>
        <w:t>Birth parents receive 16 weeks of paid leave, which may begin up to 2 weeks before the expected due date and may be taken continuously or, with manager approval, in two blocks within the first 12 months following birth.</w:t>
      </w:r>
    </w:p>
    <w:p>
      <w:pPr>
        <w:pStyle w:val="Heading1"/>
      </w:pPr>
      <w:r>
        <w:t>Non-Birth Parent and Adoption Leave</w:t>
      </w:r>
    </w:p>
    <w:p>
      <w:r>
        <w:t>Non-birth parents, and employees welcoming a child through adoption or foster placement, receive 10 weeks of paid leave, to be taken within the first 12 months following the qualifying event.</w:t>
      </w:r>
    </w:p>
    <w:p>
      <w:pPr>
        <w:pStyle w:val="Heading1"/>
      </w:pPr>
      <w:r>
        <w:t>Family and Medical Leave (FMLA-Aligned)</w:t>
      </w:r>
    </w:p>
    <w:p>
      <w:pPr>
        <w:pStyle w:val="Heading2"/>
      </w:pPr>
      <w:r>
        <w:t>Qualifying Reasons</w:t>
      </w:r>
    </w:p>
    <w:p>
      <w:r>
        <w:t>Beyond the paid parental leave above, employees may take unpaid, job-protected leave for their own serious health condition, to care for a family member with a serious health condition, or for a qualifying military family reason, in line with federal Family and Medical Leave Act standards.</w:t>
      </w:r>
    </w:p>
    <w:p>
      <w:pPr>
        <w:pStyle w:val="Heading2"/>
      </w:pPr>
      <w:r>
        <w:t>Job Protection and Benefits Continuation</w:t>
      </w:r>
    </w:p>
    <w:p>
      <w:r>
        <w:t>Employees on qualifying leave are restored to their same or an equivalent position upon return, and Contoso continues to pay its share of medical premiums during the leave period as if the employee were actively working.</w:t>
      </w:r>
    </w:p>
    <w:p>
      <w:pPr>
        <w:pStyle w:val="Heading1"/>
      </w:pPr>
      <w:r>
        <w:t>Returning to Work</w:t>
      </w:r>
    </w:p>
    <w:p>
      <w:r>
        <w:t>Employees should notify their manager and HR of their expected return date at least 2 weeks before returning. A gradual return-to-work schedule can be arranged with manager and HR approval where a medical provider recommends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