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06" w:rsidRDefault="00B4398C" w:rsidP="00DB2F0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459E2">
        <w:rPr>
          <w:rFonts w:ascii="Times New Roman" w:hAnsi="Times New Roman" w:cs="Times New Roman"/>
          <w:b/>
          <w:sz w:val="28"/>
        </w:rPr>
        <w:t>INTRODUCTION</w:t>
      </w:r>
    </w:p>
    <w:p w:rsidR="00DB2F06" w:rsidRDefault="00DB2F06" w:rsidP="00DB2F0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</w:pP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Internet of Things (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IoT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) devices are increasingly integrated in cyber-physical systems (CPS), including in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critical infrastructure sectors such as dams and utility plants. In these settings,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IoT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devices (also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referred to as Industrial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IoT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or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IIoT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) are often part of an Industrial Control System (ICS), tasked with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there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liable operation of the infrastructure. ICS can be broadly defined to include supervisory control and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data acquisition (SCADA) systems, distributed control systems (DCS), and systems that comprise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programmable logic controllers (PLC) and Mod bus protocols. The connection between ICS or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IIoT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-based systems with public networks, however, increases their attack surfaces and risks of being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targeted by cyber criminals. One high-profile example is the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Stux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net campaign, which reportedly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targeted Iranian centrifuges for nuclear enrichment in 2010, causing severe damage to the equipment.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Another example is that of the incident targeting a pump that resulted in the failure of an Illinois water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plant in 2011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. Black Energy was another campaign that targeted Ukraine power grids in 2015, resulting in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power outage that affected approximately 230,000 people. In April 2018, there were also reports of successful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cyber-attacks affecting three U.S. gas pipeline firms, and resulted in the shutdown of electronic customer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communi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cation systems for several days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. Although security solutions developed for information technology (IT)and operational technology (OT) systems are relatively mature, they may not be directly applicable to ICSs. For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example, this could be the case due to the tight integration between the controlled physical environment and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the cyber systems.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Therefore, system-level security methods are necessary to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analyze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physical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behavior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and maintain system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operation availability. ICS security goals are prioritized in the order of availability, integrity, and confidentiality,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unlike most IT/OT systems (generally prioritized in the order of confidentiality, integrity, and availability). Due to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close coupling between variables of the feedback control loop and physical processes, (successful) cyber-attacks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on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lastRenderedPageBreak/>
        <w:t>ICS can result in severe and potentially fatal consequences for the society and our environment. This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reinforces the importance of designing extremely robust safety and security measurements to detect and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prevent intrusions targeting ICS.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Popular attack detection and attribution approaches include those based on signatures and anomalies. To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mitigate the known limitations in both signature-based and anomaly-based detection and attribution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approaches, there have been attempts to in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troduce hybrid-based approaches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. Although hybrid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based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approaches are effective at detecting unusual activates, they are not reliable due to frequent network upgrades,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resulting in different Intrusion Detection System (IDS) typologies. Beyond this, conventional attack detection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and attribution techniques mainly rely on network metadata analysis (e.g. IP addresses, transmission ports,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traffic duration, and packet intervals). Therefore, there has been renewed interest in utilizing attack detection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and attribution solutions based on Machine Learning (ML) or Deep Neural Networks (DNN) in recent times.7In addition, attack detection approaches can be categorized into network-based or host-based approaches.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Supervised clustering, single-class or multi-class Support Vector Machine (SVM), fuzzy logic, Artificial Neural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Network (ANN), and DNN are commonly used techniques for attack detection in network traffic. These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techniques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analyze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real-time traffic data to detect malicious attacks in a timely manner. However, attack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detection that considers only network and host data may fail to detect sophisticated attacks or insider attacks.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Unsupervised models that incorporate process/physical data can complement a system’s monitoring since they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do not rely on detailed knowledge of the cyber-threats. In general, a sophisticated attacker with sufficient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knowledge and time, such as a nation state advanced persistent threat actor, can potentially circumvent robust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security solutions. Furthermore, most of the existing approaches ignore the imbalanced property of ICS data by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modeling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only a system’s normal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behavior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and reporting deviations from normal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behavior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as anomalies. This is,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perhaps, due to limited attack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lastRenderedPageBreak/>
        <w:t>samples in existing datasets and real-world scenarios. Although using majority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class samples is a good solution to avoid issues due to imbalanced datasets, the trained model will have no view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of the attack samples’ patterns. In other words, such an approach fails to detect unseen attacks and suffers from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 high false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positive rate [8]. Thus, there have been attempts to utilize DL approaches, for example, to facilitate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automated feature (representation) learning to model complex concepts from simpler ones [9] without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depe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nding on human-crafted features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Motivated by the above observations, this paper presents our proposed novel two-stage ensemble deep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learning-based attack detection and attack attribution framework for imbalanced ICS datasets. In the first stage,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an ensemble representation learning model combined with a Decision Tree (DT) is designed to detect attacks in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an imbalanced environment. Once the attack is detected, several one-vs-all classifiers will ensemble together to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form a larger DNN to classify the attack attributes with a confidence interval during the second stage. Moreover,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the proposed framework is capable of detecting unseen attack samples.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 summary of our approach in this study is as follows:</w:t>
      </w:r>
    </w:p>
    <w:p w:rsidR="00DB2F06" w:rsidRPr="00DB2F06" w:rsidRDefault="00DB2F06" w:rsidP="00DB2F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</w:pP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We develop a novel two-phase ensemble ICS attack detection method capable of detecting both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previously seen and unseen attacks. We will also demonstrate that the proposed method out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performs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other competing approaches in terms of accuracy and f-measure. The proposed deep representation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learning results in this method being robust to imbalanced data.</w:t>
      </w:r>
    </w:p>
    <w:p w:rsidR="00DB2F06" w:rsidRPr="00DB2F06" w:rsidRDefault="00DB2F06" w:rsidP="00DB2F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</w:pP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We propose a novel self-tuning two-phase attack attribution method that ensembles several deep one-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vsall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classifiers using a DNN architecture for reducing false alarm rates. The proposed method can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accurately attribute attacks with high similarity. This is the first ML-based attack attribution method in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ICS/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IIoT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at the time of this research.</w:t>
      </w:r>
    </w:p>
    <w:p w:rsidR="00C40F9D" w:rsidRPr="00B4398C" w:rsidRDefault="00DB2F06" w:rsidP="00DB2F06">
      <w:pPr>
        <w:pStyle w:val="ListParagraph"/>
        <w:numPr>
          <w:ilvl w:val="0"/>
          <w:numId w:val="1"/>
        </w:numPr>
        <w:spacing w:after="0" w:line="360" w:lineRule="auto"/>
        <w:jc w:val="both"/>
      </w:pPr>
      <w:bookmarkStart w:id="0" w:name="_GoBack"/>
      <w:bookmarkEnd w:id="0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We </w:t>
      </w:r>
      <w:proofErr w:type="spellStart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analyze</w:t>
      </w:r>
      <w:proofErr w:type="spellEnd"/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the computational complexity of the proposed attack detection and attack attribution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framework, demonstrating that despite its superior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lastRenderedPageBreak/>
        <w:t>performance, its computational complexity is similar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 xml:space="preserve"> 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to that of other DNN-based methods in the literature</w:t>
      </w:r>
      <w:r w:rsidRPr="00DB2F06">
        <w:rPr>
          <w:rFonts w:ascii="Times New Roman" w:eastAsia="Times New Roman" w:hAnsi="Times New Roman" w:cs="Times New Roman"/>
          <w:sz w:val="28"/>
          <w:szCs w:val="28"/>
          <w:lang w:val="en-IN" w:eastAsia="en-IN" w:bidi="te-IN"/>
        </w:rPr>
        <w:t>.</w:t>
      </w:r>
    </w:p>
    <w:sectPr w:rsidR="00C40F9D" w:rsidRPr="00B4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44A0"/>
    <w:multiLevelType w:val="hybridMultilevel"/>
    <w:tmpl w:val="F8B24E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F0"/>
    <w:rsid w:val="00480966"/>
    <w:rsid w:val="004B64F0"/>
    <w:rsid w:val="004F7259"/>
    <w:rsid w:val="00587B3F"/>
    <w:rsid w:val="008E761E"/>
    <w:rsid w:val="00B4398C"/>
    <w:rsid w:val="00BD5558"/>
    <w:rsid w:val="00C40F9D"/>
    <w:rsid w:val="00DB2F06"/>
    <w:rsid w:val="00FE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F18A"/>
  <w15:chartTrackingRefBased/>
  <w15:docId w15:val="{26C4948E-BE3C-4081-BC06-BC0C449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Anshu</cp:lastModifiedBy>
  <cp:revision>17</cp:revision>
  <dcterms:created xsi:type="dcterms:W3CDTF">2022-04-26T10:45:00Z</dcterms:created>
  <dcterms:modified xsi:type="dcterms:W3CDTF">2023-03-20T18:03:00Z</dcterms:modified>
</cp:coreProperties>
</file>