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GitGuard — Threat Model</w:t>
      </w:r>
    </w:p>
    <w:p>
      <w:r>
        <w:rPr>
          <w:sz w:val="22"/>
        </w:rPr>
        <w:t>Defensive cybersecurity document. Describes threats, controls, and design rationale.</w:t>
      </w:r>
    </w:p>
    <w:p>
      <w:pPr>
        <w:pStyle w:val="Heading1"/>
      </w:pPr>
      <w:r>
        <w:t>1. Problem Statement</w:t>
      </w:r>
    </w:p>
    <w:p>
      <w:r>
        <w:rPr>
          <w:sz w:val="22"/>
        </w:rPr>
        <w:t>Organizations store credentials in source code, configuration files, and CI variables. When these are committed to Git, they become part of the attack surface accessible to insiders, compromised accounts, and public repository scrapers.</w:t>
      </w:r>
    </w:p>
    <w:p>
      <w:r>
        <w:rPr>
          <w:sz w:val="22"/>
        </w:rPr>
        <w:t>GitGuard addresses accidental secret exposure in repositories and commit history through automated detection, risk prioritization, and operator-friendly reporting.</w:t>
      </w:r>
    </w:p>
    <w:p>
      <w:pPr>
        <w:pStyle w:val="Heading1"/>
      </w:pPr>
      <w:r>
        <w:t>2. Threat Landscape</w:t>
      </w:r>
    </w:p>
    <w:p>
      <w:r>
        <w:rPr>
          <w:sz w:val="22"/>
        </w:rPr>
        <w:t>Primary risks include credential theft (T1552), lateral movement using valid accounts (T1078), and persistence via long-lived API keys. Public GitHub scanning bots actively search for exposed AWS keys and tokens within minutes of a push.</w:t>
      </w:r>
    </w:p>
    <w:p>
      <w:pPr>
        <w:pStyle w:val="Heading1"/>
      </w:pPr>
      <w:r>
        <w:t>3. What GitGuard Protects Against</w:t>
      </w:r>
    </w:p>
    <w:p>
      <w:r>
        <w:rPr>
          <w:sz w:val="22"/>
        </w:rPr>
        <w:t>Hardcoded API keys, cloud access keys, OAuth tokens, database connection strings, private key blocks, JWTs, and high-entropy generic secrets in tracked files and historical commits.</w:t>
      </w:r>
    </w:p>
    <w:p>
      <w:pPr>
        <w:pStyle w:val="Heading1"/>
      </w:pPr>
      <w:r>
        <w:t>4. Threat Actors</w:t>
      </w:r>
    </w:p>
    <w:p>
      <w:r>
        <w:rPr>
          <w:sz w:val="22"/>
        </w:rPr>
        <w:t>External attackers harvesting public repos; malicious insiders with clone access; compromised developer workstations; supply-chain actors searching forked repositories.</w:t>
      </w:r>
    </w:p>
    <w:p>
      <w:pPr>
        <w:pStyle w:val="Heading1"/>
      </w:pPr>
      <w:r>
        <w:t>5. Attack Surface</w:t>
      </w:r>
    </w:p>
    <w:p>
      <w:r>
        <w:rPr>
          <w:sz w:val="22"/>
        </w:rPr>
        <w:t>Working tree files (.env, source, IaC); Git object history (commits never truly deleted without rewrite); cloned remote repositories; CI logs mirroring repo content (out of scope for this tool).</w:t>
      </w:r>
    </w:p>
    <w:p>
      <w:pPr>
        <w:pStyle w:val="Heading1"/>
      </w:pPr>
      <w:r>
        <w:t>6. Secrets Exposure Risks</w:t>
      </w:r>
    </w:p>
    <w:p>
      <w:r>
        <w:rPr>
          <w:sz w:val="22"/>
        </w:rPr>
        <w:t>Plaintext storage multiplies blast radius. Same secret in multiple files increases likelihood of discovery. Committed .env files are a critical exposure pattern.</w:t>
      </w:r>
    </w:p>
    <w:p>
      <w:pPr>
        <w:pStyle w:val="Heading1"/>
      </w:pPr>
      <w:r>
        <w:t>7. Cloud Credential Risks</w:t>
      </w:r>
    </w:p>
    <w:p>
      <w:r>
        <w:rPr>
          <w:sz w:val="22"/>
        </w:rPr>
        <w:t>AWS, GitHub, Stripe, and similar keys enable direct financial or infrastructure impact. GitGuard flags cloud credential types with elevated severity and exposure scoring.</w:t>
      </w:r>
    </w:p>
    <w:p>
      <w:pPr>
        <w:pStyle w:val="Heading1"/>
      </w:pPr>
      <w:r>
        <w:t>8. Git History Risks</w:t>
      </w:r>
    </w:p>
    <w:p>
      <w:r>
        <w:rPr>
          <w:sz w:val="22"/>
        </w:rPr>
        <w:t>Deleting a secret from the latest commit does not remove it from history. history-scan inspects diffs to find secrets attackers could still extract.</w:t>
      </w:r>
    </w:p>
    <w:p>
      <w:pPr>
        <w:pStyle w:val="Heading1"/>
      </w:pPr>
      <w:r>
        <w:t>9. Detection Strategy</w:t>
      </w:r>
    </w:p>
    <w:p>
      <w:r>
        <w:rPr>
          <w:sz w:val="22"/>
        </w:rPr>
        <w:t>Layer 1: Regex patterns for known secret formats (25+ types). Layer 2: Shannon entropy to support high-randomness tokens. Layer 3: Context analysis to reduce false positives (example placeholders, comments, docs). Layer 4: Risk intelligence enrichment before storage.</w:t>
      </w:r>
    </w:p>
    <w:p>
      <w:pPr>
        <w:pStyle w:val="Heading1"/>
      </w:pPr>
      <w:r>
        <w:t>10. Risk Intelligence Strategy</w:t>
      </w:r>
    </w:p>
    <w:p>
      <w:r>
        <w:rPr>
          <w:sz w:val="22"/>
        </w:rPr>
        <w:t>Severity (0–100) prioritizes response. Confidence estimates likelihood of true positive. Exposure reflects file/path sensitivity. Together they guide SOC triage without ML complexity.</w:t>
      </w:r>
    </w:p>
    <w:p>
      <w:pPr>
        <w:pStyle w:val="Heading1"/>
      </w:pPr>
      <w:r>
        <w:t>11. ATT&amp;CK Mapping</w:t>
      </w:r>
    </w:p>
    <w:p>
      <w:r>
        <w:rPr>
          <w:sz w:val="22"/>
        </w:rPr>
        <w:t>Findings map to MITRE ATT&amp;CK for judge and stakeholder communication. T1552.001 (Credentials in Files) covers most tokens; T1552.004 covers private keys. Mapping is dictionary-driven and explainable.</w:t>
      </w:r>
    </w:p>
    <w:p>
      <w:pPr>
        <w:pStyle w:val="Heading1"/>
      </w:pPr>
      <w:r>
        <w:t>12. Defensive Controls</w:t>
      </w:r>
    </w:p>
    <w:p>
      <w:r>
        <w:rPr>
          <w:sz w:val="22"/>
        </w:rPr>
        <w:t>Detection and reporting; mock validation and rotation workflow (audit only); allowlist-gated ingestion; masked previews only; structured logging; optional alerting via SNS when AWS enabled.</w:t>
      </w:r>
    </w:p>
    <w:p>
      <w:pPr>
        <w:pStyle w:val="Heading1"/>
      </w:pPr>
      <w:r>
        <w:t>13. Allowlist Enforcement Rationale</w:t>
      </w:r>
    </w:p>
    <w:p>
      <w:r>
        <w:rPr>
          <w:sz w:val="22"/>
        </w:rPr>
        <w:t>Remote and batch scans require explicit approval in allowlist.yaml to prevent accidental mass scanning or abuse during demos. This is a safety and ethics control, not a detection feature.</w:t>
      </w:r>
    </w:p>
    <w:p>
      <w:pPr>
        <w:pStyle w:val="Heading1"/>
      </w:pPr>
      <w:r>
        <w:t>14. LocalStack / Cloud-Native Narrative</w:t>
      </w:r>
    </w:p>
    <w:p>
      <w:r>
        <w:rPr>
          <w:sz w:val="22"/>
        </w:rPr>
        <w:t>LocalStack provides S3/SNS/DynamoDB emulation on localhost so teams can demonstrate cloud SOC workflows without real AWS accounts or billing. Real AWS remains optional via environment variables. Design choice: cloud enhances the story; it never blocks local operation.</w:t>
      </w:r>
    </w:p>
    <w:p>
      <w:pPr>
        <w:pStyle w:val="Heading1"/>
      </w:pPr>
      <w:r>
        <w:t>15. Limitations</w:t>
      </w:r>
    </w:p>
    <w:p>
      <w:r>
        <w:rPr>
          <w:sz w:val="22"/>
        </w:rPr>
        <w:t>No real credential revocation; regex/entropy cannot catch all encodings; encrypted secrets not visible; cannot scan private repos without access; SQLite not enterprise-scale; mock rotation only.</w:t>
      </w:r>
    </w:p>
    <w:p>
      <w:pPr>
        <w:pStyle w:val="Heading1"/>
      </w:pPr>
      <w:r>
        <w:t>16. Assumptions</w:t>
      </w:r>
    </w:p>
    <w:p>
      <w:r>
        <w:rPr>
          <w:sz w:val="22"/>
        </w:rPr>
        <w:t>Operators have lawful authorization to scan target repositories; test_repo secrets are fake; boto3 failures are acceptable in demo environments; judges value explainability over black-box ML.</w:t>
      </w:r>
    </w:p>
    <w:p>
      <w:pPr>
        <w:pStyle w:val="Heading1"/>
      </w:pPr>
      <w:r>
        <w:t>17. Future Improvements</w:t>
      </w:r>
    </w:p>
    <w:p>
      <w:r>
        <w:rPr>
          <w:sz w:val="22"/>
        </w:rPr>
        <w:t>Pre-commit hooks; git history rewriting playbooks; CI integrations; policy-as-code allowlists; webhook notifications; per-organization tuning rules.</w:t>
      </w:r>
    </w:p>
    <w:p>
      <w:pPr>
        <w:pStyle w:val="Heading1"/>
      </w:pPr>
      <w:r>
        <w:t>Design Notes (Supplementary)</w:t>
      </w:r>
    </w:p>
    <w:p>
      <w:r>
        <w:rPr>
          <w:sz w:val="22"/>
        </w:rPr>
        <w:t>False-positive reduction: context flags penalize example placeholders, comments, and documentation paths. Low-confidence example rows may be skipped entirely.</w:t>
      </w:r>
    </w:p>
    <w:p>
      <w:r>
        <w:rPr>
          <w:sz w:val="22"/>
        </w:rPr>
        <w:t>Grouped findings: duplicate secrets collapse into one row with occurrence_count so dashboards remain readable and duplicate noise does not inflate metrics.</w:t>
      </w:r>
    </w:p>
    <w:p>
      <w:r>
        <w:rPr>
          <w:sz w:val="22"/>
        </w:rPr>
        <w:t>Graceful AWS failure: cloud_export uses safe wrappers so LocalStack downtime never aborts a scan or report.</w:t>
      </w:r>
    </w:p>
    <w:p>
      <w:r>
        <w:rPr>
          <w:sz w:val="22"/>
        </w:rPr>
        <w:t>Remediation text: per secret-type guidance helps operators act without external runbooks during demos.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