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F0274" w14:textId="42EE0E2E" w:rsidR="009C1F40" w:rsidRDefault="009C1F40" w:rsidP="009C1F40"/>
    <w:p w14:paraId="41A2E615" w14:textId="216198A2" w:rsidR="009C1F40" w:rsidRDefault="009C1F40" w:rsidP="009C1F40"/>
    <w:p w14:paraId="382952FF" w14:textId="2461D9CE" w:rsidR="009C1F40" w:rsidRDefault="009C1F40" w:rsidP="009C1F40"/>
    <w:p w14:paraId="58ED6D28" w14:textId="27816FA6" w:rsidR="009C1F40" w:rsidRDefault="009C1F40" w:rsidP="009C1F40"/>
    <w:p w14:paraId="2BA4FE29" w14:textId="73B72FFA" w:rsidR="009C1F40" w:rsidRDefault="009C1F40" w:rsidP="009C1F40"/>
    <w:p w14:paraId="55B875CA" w14:textId="208BBCD9" w:rsidR="009C1F40" w:rsidRDefault="009C1F40" w:rsidP="009C1F40"/>
    <w:p w14:paraId="2BD88AFA" w14:textId="08F04527" w:rsidR="009C1F40" w:rsidRDefault="009C1F40" w:rsidP="009C1F40"/>
    <w:p w14:paraId="0499A677" w14:textId="1593C6AD" w:rsidR="00BE3FA1" w:rsidRDefault="00BE3FA1" w:rsidP="009C1F40"/>
    <w:p w14:paraId="61398B1A" w14:textId="77777777" w:rsidR="00BE3FA1" w:rsidRDefault="00BE3FA1" w:rsidP="009C1F40"/>
    <w:p w14:paraId="34EE922C" w14:textId="3F6A6B31" w:rsidR="009C1F40" w:rsidRDefault="009C1F40" w:rsidP="009C1F40"/>
    <w:p w14:paraId="709EFC08" w14:textId="1E37B8D1" w:rsidR="009C1F40" w:rsidRDefault="009C1F40" w:rsidP="009C1F40"/>
    <w:p w14:paraId="5AB9F1C8" w14:textId="2A7D66EA" w:rsidR="009C1F40" w:rsidRDefault="009C1F40" w:rsidP="009C1F40"/>
    <w:p w14:paraId="04D62D81" w14:textId="77777777" w:rsidR="00BE3FA1" w:rsidRDefault="00BE3FA1">
      <w:r w:rsidRPr="00BE3FA1">
        <w:t>HAP2 TASK 1: CYBERSECURITY MANAGEMENT I – STRATEGIC</w:t>
      </w:r>
    </w:p>
    <w:p w14:paraId="51C4FBFA" w14:textId="77777777" w:rsidR="00BE3FA1" w:rsidRDefault="00BE3FA1">
      <w:r>
        <w:t>Damian J. Yates</w:t>
      </w:r>
    </w:p>
    <w:p w14:paraId="67A17EF0" w14:textId="77777777" w:rsidR="00BE3FA1" w:rsidRDefault="00BE3FA1">
      <w:r>
        <w:t>WGU</w:t>
      </w:r>
    </w:p>
    <w:p w14:paraId="66816A22" w14:textId="6309C5A5" w:rsidR="00F34385" w:rsidRDefault="00BE3FA1">
      <w:r>
        <w:t xml:space="preserve">Student# </w:t>
      </w:r>
      <w:r w:rsidRPr="00BE3FA1">
        <w:t>000478522</w:t>
      </w:r>
      <w:r w:rsidR="00F34385">
        <w:br w:type="page"/>
      </w:r>
    </w:p>
    <w:p w14:paraId="6A680E2A" w14:textId="355CC8FA" w:rsidR="004C0AA3" w:rsidRDefault="004C0AA3" w:rsidP="004C0AA3">
      <w:pPr>
        <w:pStyle w:val="Heading1"/>
        <w:rPr>
          <w:rFonts w:eastAsia="Times New Roman"/>
        </w:rPr>
      </w:pPr>
      <w:r>
        <w:rPr>
          <w:rFonts w:eastAsia="Times New Roman"/>
        </w:rPr>
        <w:lastRenderedPageBreak/>
        <w:t>Synopsis</w:t>
      </w:r>
    </w:p>
    <w:p w14:paraId="4396E481" w14:textId="0EC8FFDC" w:rsidR="004C0AA3" w:rsidRDefault="004C0AA3" w:rsidP="004C0AA3"/>
    <w:p w14:paraId="500C49FA" w14:textId="18A6FB39" w:rsidR="004C0AA3" w:rsidRDefault="004C0AA3" w:rsidP="004C0AA3">
      <w:r>
        <w:t xml:space="preserve">In response to the discussion </w:t>
      </w:r>
      <w:r w:rsidR="00874789">
        <w:t>during</w:t>
      </w:r>
      <w:r w:rsidR="00E4364D">
        <w:t xml:space="preserve"> our </w:t>
      </w:r>
      <w:r w:rsidR="00874789">
        <w:t xml:space="preserve">recent </w:t>
      </w:r>
      <w:r>
        <w:t>board meeting</w:t>
      </w:r>
      <w:r w:rsidR="008C304F">
        <w:t>,</w:t>
      </w:r>
      <w:r>
        <w:t xml:space="preserve"> Psinuvia, Inc</w:t>
      </w:r>
      <w:r w:rsidR="008C304F">
        <w:t>.</w:t>
      </w:r>
      <w:r>
        <w:t xml:space="preserve"> hired Autojor Security Consultants to conduct a comprehensive security audit of our existing </w:t>
      </w:r>
      <w:r w:rsidR="0005112F">
        <w:t xml:space="preserve">cyber security posture and business processes.  Last week Autojor provided </w:t>
      </w:r>
      <w:r w:rsidR="009F2DBE">
        <w:t>a high-level</w:t>
      </w:r>
      <w:r w:rsidR="0005112F">
        <w:t xml:space="preserve"> report </w:t>
      </w:r>
      <w:r w:rsidR="00D31A19">
        <w:t xml:space="preserve">based </w:t>
      </w:r>
      <w:r w:rsidR="0005112F">
        <w:t xml:space="preserve">on </w:t>
      </w:r>
      <w:r w:rsidR="00D11F03">
        <w:t xml:space="preserve">a comprehensive </w:t>
      </w:r>
      <w:r w:rsidR="0005112F">
        <w:t xml:space="preserve">assessment of our </w:t>
      </w:r>
      <w:r w:rsidR="001C39CE">
        <w:t xml:space="preserve">security </w:t>
      </w:r>
      <w:r w:rsidR="001B6697">
        <w:t>situation</w:t>
      </w:r>
      <w:r w:rsidR="0005112F">
        <w:t>.  This document will act as an acknowledgement and proposed response to Autojor</w:t>
      </w:r>
      <w:r w:rsidR="008B7561">
        <w:t>’s</w:t>
      </w:r>
      <w:r w:rsidR="006012DB">
        <w:t xml:space="preserve"> Security</w:t>
      </w:r>
      <w:r w:rsidR="0005112F">
        <w:t xml:space="preserve"> assessment</w:t>
      </w:r>
      <w:r w:rsidR="009F2DBE">
        <w:t xml:space="preserve"> and </w:t>
      </w:r>
      <w:r w:rsidR="00CE5B30">
        <w:t>high-level</w:t>
      </w:r>
      <w:r w:rsidR="009F2DBE">
        <w:t xml:space="preserve"> report</w:t>
      </w:r>
      <w:r w:rsidR="0005112F">
        <w:t xml:space="preserve">.  </w:t>
      </w:r>
    </w:p>
    <w:p w14:paraId="2BA7A462" w14:textId="595A0E14" w:rsidR="0005112F" w:rsidRDefault="0005112F" w:rsidP="004C0AA3"/>
    <w:p w14:paraId="6EDB043B" w14:textId="1D5CBA42" w:rsidR="0005112F" w:rsidRDefault="0005112F" w:rsidP="0005112F">
      <w:pPr>
        <w:pStyle w:val="Heading1"/>
      </w:pPr>
      <w:r>
        <w:t>Over</w:t>
      </w:r>
      <w:r w:rsidR="00731B31">
        <w:t>view</w:t>
      </w:r>
    </w:p>
    <w:p w14:paraId="096236A5" w14:textId="17D7020E" w:rsidR="00731B31" w:rsidRDefault="00731B31" w:rsidP="00731B31"/>
    <w:p w14:paraId="2E7689B6" w14:textId="00894A87" w:rsidR="00731B31" w:rsidRDefault="00731B31" w:rsidP="00731B31">
      <w:r>
        <w:t xml:space="preserve">Autojor Security Consultants (ASC) conducted both a passive and active assessment of </w:t>
      </w:r>
      <w:r w:rsidR="00356EB2">
        <w:t>Psinuvia</w:t>
      </w:r>
      <w:r w:rsidR="0024692C">
        <w:t xml:space="preserve">, Inc network, operations, and business policies. With the use of cyber security specialists and numerous tools, ASC actively probed the exterior of our security </w:t>
      </w:r>
      <w:r w:rsidR="005E0C3C">
        <w:t>defenses</w:t>
      </w:r>
      <w:r w:rsidR="0024692C">
        <w:t xml:space="preserve"> seeking entry points and data leakage. At the same time </w:t>
      </w:r>
      <w:r w:rsidR="002E09CF">
        <w:t xml:space="preserve">ASC </w:t>
      </w:r>
      <w:r w:rsidR="0024692C">
        <w:t xml:space="preserve">specialists were operating </w:t>
      </w:r>
      <w:r w:rsidR="00561EA0">
        <w:t>within</w:t>
      </w:r>
      <w:r w:rsidR="0024692C">
        <w:t xml:space="preserve"> </w:t>
      </w:r>
      <w:r w:rsidR="00B079FA">
        <w:t>our security</w:t>
      </w:r>
      <w:r w:rsidR="0024692C">
        <w:t xml:space="preserve"> perimeter seeking vulnerabilities within the organization</w:t>
      </w:r>
      <w:r w:rsidR="00BA37CC">
        <w:t xml:space="preserve">, </w:t>
      </w:r>
      <w:r w:rsidR="000B6C31">
        <w:t xml:space="preserve">as well as </w:t>
      </w:r>
      <w:r w:rsidR="003A58B6">
        <w:t>its</w:t>
      </w:r>
      <w:r w:rsidR="0024692C">
        <w:t xml:space="preserve"> technology infrastructure, operational and </w:t>
      </w:r>
      <w:r w:rsidR="009F2DBE">
        <w:t>business policies, and procedures. ASC will provid</w:t>
      </w:r>
      <w:r w:rsidR="005538BE">
        <w:t>e</w:t>
      </w:r>
      <w:r w:rsidR="009F2DBE">
        <w:t xml:space="preserve"> our technology team with a comprehensive detailed report with recommend</w:t>
      </w:r>
      <w:r w:rsidR="00C51F80">
        <w:t xml:space="preserve">ed actions needed to remediate the </w:t>
      </w:r>
      <w:r w:rsidR="00660533">
        <w:t>discovered</w:t>
      </w:r>
      <w:r w:rsidR="00FE609B">
        <w:t xml:space="preserve"> deficiencies with </w:t>
      </w:r>
      <w:r w:rsidR="00660533">
        <w:t>the existing</w:t>
      </w:r>
      <w:r w:rsidR="00FE609B">
        <w:t xml:space="preserve"> security posture</w:t>
      </w:r>
      <w:r w:rsidR="009F2DBE">
        <w:t xml:space="preserve">. </w:t>
      </w:r>
      <w:r w:rsidR="00CE5B30">
        <w:t xml:space="preserve">To quote ASC, “…there were a number of issues surrounding </w:t>
      </w:r>
      <w:r w:rsidR="00356EB2">
        <w:t>Psinuvia</w:t>
      </w:r>
      <w:r w:rsidR="00CE5B30">
        <w:t>, Inc’s implementation of a strong cybersecurity</w:t>
      </w:r>
      <w:r w:rsidR="009F2DBE">
        <w:t xml:space="preserve"> </w:t>
      </w:r>
      <w:r w:rsidR="003B4BE0">
        <w:t xml:space="preserve">posture as well as the subsequent projects and programs to enforce </w:t>
      </w:r>
      <w:r w:rsidR="00EB3BBF">
        <w:t>that security.”</w:t>
      </w:r>
      <w:r w:rsidR="00C61135">
        <w:t xml:space="preserve"> Below are </w:t>
      </w:r>
      <w:r w:rsidR="003F10C2">
        <w:t xml:space="preserve">some of </w:t>
      </w:r>
      <w:r w:rsidR="00C61135">
        <w:t xml:space="preserve">the points of concern </w:t>
      </w:r>
      <w:r w:rsidR="00651EA4">
        <w:t xml:space="preserve">addressed </w:t>
      </w:r>
      <w:r w:rsidR="00C61135">
        <w:t xml:space="preserve">in the </w:t>
      </w:r>
      <w:r w:rsidR="0064723D">
        <w:t>high-level</w:t>
      </w:r>
      <w:r w:rsidR="003F10C2">
        <w:t xml:space="preserve"> </w:t>
      </w:r>
      <w:r w:rsidR="00C61135">
        <w:t>report:</w:t>
      </w:r>
    </w:p>
    <w:p w14:paraId="4864FBBB" w14:textId="655BDCD1" w:rsidR="00C61135" w:rsidRDefault="00C61135" w:rsidP="00C61135">
      <w:pPr>
        <w:pStyle w:val="ListParagraph"/>
        <w:numPr>
          <w:ilvl w:val="0"/>
          <w:numId w:val="1"/>
        </w:numPr>
      </w:pPr>
      <w:r>
        <w:t>Insufficient structured cybersecurity program</w:t>
      </w:r>
      <w:r w:rsidR="001E3696">
        <w:t>.</w:t>
      </w:r>
    </w:p>
    <w:p w14:paraId="2DDD9EB7" w14:textId="384649D3" w:rsidR="00C61135" w:rsidRDefault="00C61135" w:rsidP="00C61135">
      <w:pPr>
        <w:pStyle w:val="ListParagraph"/>
        <w:numPr>
          <w:ilvl w:val="0"/>
          <w:numId w:val="1"/>
        </w:numPr>
      </w:pPr>
      <w:r>
        <w:t xml:space="preserve">Devices produced by </w:t>
      </w:r>
      <w:r w:rsidR="00356EB2">
        <w:t>Psinuvia</w:t>
      </w:r>
      <w:r>
        <w:t xml:space="preserve">, </w:t>
      </w:r>
      <w:r w:rsidR="00A9063B">
        <w:t>I</w:t>
      </w:r>
      <w:r>
        <w:t xml:space="preserve">nc. have no visible </w:t>
      </w:r>
      <w:r w:rsidR="00286BB5">
        <w:t>data security for the information they collect, store, and transmit.</w:t>
      </w:r>
    </w:p>
    <w:p w14:paraId="56DD6714" w14:textId="29135BB5" w:rsidR="00C61135" w:rsidRDefault="005B5A35" w:rsidP="00C61135">
      <w:pPr>
        <w:pStyle w:val="ListParagraph"/>
        <w:numPr>
          <w:ilvl w:val="0"/>
          <w:numId w:val="1"/>
        </w:numPr>
      </w:pPr>
      <w:r>
        <w:t xml:space="preserve">Failure to </w:t>
      </w:r>
      <w:r w:rsidR="00EC0082">
        <w:t>a</w:t>
      </w:r>
      <w:r w:rsidR="00C61135">
        <w:t>dhere to federal, state, local and international laws concerning PII, medical, and credit card data.</w:t>
      </w:r>
    </w:p>
    <w:p w14:paraId="0C31E1B0" w14:textId="2A53A9F3" w:rsidR="00C61135" w:rsidRDefault="00286BB5" w:rsidP="00C61135">
      <w:pPr>
        <w:pStyle w:val="ListParagraph"/>
        <w:numPr>
          <w:ilvl w:val="0"/>
          <w:numId w:val="1"/>
        </w:numPr>
      </w:pPr>
      <w:r>
        <w:t xml:space="preserve">The existing business continuity plan is rudimentary and lacks sufficient mitigation of potential business impacting events </w:t>
      </w:r>
      <w:r w:rsidR="00E96DF8">
        <w:t xml:space="preserve">at any of the </w:t>
      </w:r>
      <w:r w:rsidR="007C2833">
        <w:t>organization’s</w:t>
      </w:r>
      <w:r>
        <w:t xml:space="preserve"> site</w:t>
      </w:r>
      <w:r w:rsidR="00E96DF8">
        <w:t>s</w:t>
      </w:r>
      <w:r>
        <w:t xml:space="preserve">. </w:t>
      </w:r>
    </w:p>
    <w:p w14:paraId="2AF2D5CD" w14:textId="35185847" w:rsidR="00406EB1" w:rsidRDefault="00286BB5" w:rsidP="00406EB1">
      <w:pPr>
        <w:pStyle w:val="ListParagraph"/>
        <w:numPr>
          <w:ilvl w:val="0"/>
          <w:numId w:val="1"/>
        </w:numPr>
      </w:pPr>
      <w:r>
        <w:t xml:space="preserve">Cybersecurity risk management policies and procedures do not </w:t>
      </w:r>
      <w:r w:rsidR="00406EB1">
        <w:t xml:space="preserve">address all logical and physical threats to </w:t>
      </w:r>
      <w:r w:rsidR="00DB5828">
        <w:t xml:space="preserve">organizational </w:t>
      </w:r>
      <w:r w:rsidR="00406EB1">
        <w:t>assets</w:t>
      </w:r>
      <w:r w:rsidR="00DB5828">
        <w:t>.</w:t>
      </w:r>
    </w:p>
    <w:p w14:paraId="733AB35C" w14:textId="379B2F79" w:rsidR="00406EB1" w:rsidRDefault="002873F2" w:rsidP="00406EB1">
      <w:pPr>
        <w:pStyle w:val="ListParagraph"/>
        <w:numPr>
          <w:ilvl w:val="0"/>
          <w:numId w:val="1"/>
        </w:numPr>
      </w:pPr>
      <w:r>
        <w:t>Functional roles and responsibilities have not been properly identified and documented.</w:t>
      </w:r>
    </w:p>
    <w:p w14:paraId="577903EE" w14:textId="2B4BE138" w:rsidR="0039085F" w:rsidRDefault="00B50D07" w:rsidP="002873F2">
      <w:r>
        <w:t>Th</w:t>
      </w:r>
      <w:r w:rsidR="00F110A0">
        <w:t xml:space="preserve">is document </w:t>
      </w:r>
      <w:r>
        <w:t>will acknowledge these deficiencies</w:t>
      </w:r>
      <w:r w:rsidR="003106C2">
        <w:t>, explai</w:t>
      </w:r>
      <w:r w:rsidR="005821FF">
        <w:t>n</w:t>
      </w:r>
      <w:r w:rsidR="003106C2">
        <w:t xml:space="preserve"> their importance</w:t>
      </w:r>
      <w:r w:rsidR="003023F1">
        <w:t xml:space="preserve"> of remediation of the deficiencies</w:t>
      </w:r>
      <w:r w:rsidR="003106C2">
        <w:t xml:space="preserve"> to the success and security of </w:t>
      </w:r>
      <w:r w:rsidR="00356EB2">
        <w:t>Psinuvia</w:t>
      </w:r>
      <w:r w:rsidR="003106C2">
        <w:t xml:space="preserve">, </w:t>
      </w:r>
      <w:r w:rsidR="003023F1">
        <w:t>I</w:t>
      </w:r>
      <w:r w:rsidR="003106C2">
        <w:t xml:space="preserve">nc., </w:t>
      </w:r>
      <w:r w:rsidR="00ED25E4">
        <w:t>and provide potential solutions t</w:t>
      </w:r>
      <w:r w:rsidR="00E17C93">
        <w:t>o allow for proper adherence to cyber security best practices</w:t>
      </w:r>
      <w:r w:rsidR="007D7F9E">
        <w:t>.</w:t>
      </w:r>
    </w:p>
    <w:p w14:paraId="49C7A5EA" w14:textId="77777777" w:rsidR="0039085F" w:rsidRDefault="0039085F">
      <w:r>
        <w:br w:type="page"/>
      </w:r>
    </w:p>
    <w:p w14:paraId="7F3F4263" w14:textId="34E23EA5" w:rsidR="008776F4" w:rsidRPr="00EB60C7" w:rsidRDefault="00966AAA" w:rsidP="00D60E34">
      <w:pPr>
        <w:pStyle w:val="Heading1"/>
        <w:jc w:val="center"/>
        <w:rPr>
          <w:b/>
          <w:bCs/>
        </w:rPr>
      </w:pPr>
      <w:r>
        <w:rPr>
          <w:b/>
          <w:bCs/>
        </w:rPr>
        <w:lastRenderedPageBreak/>
        <w:t xml:space="preserve">Key </w:t>
      </w:r>
      <w:r w:rsidR="008776F4" w:rsidRPr="00EB60C7">
        <w:rPr>
          <w:b/>
          <w:bCs/>
        </w:rPr>
        <w:t>Area of Deficiency</w:t>
      </w:r>
    </w:p>
    <w:p w14:paraId="5155C8BE" w14:textId="77777777" w:rsidR="00D60E34" w:rsidRDefault="00D60E34" w:rsidP="00D60E34"/>
    <w:p w14:paraId="2D303680" w14:textId="3E3AED7E" w:rsidR="006F7F23" w:rsidRDefault="0039085F" w:rsidP="003544F6">
      <w:pPr>
        <w:pStyle w:val="Heading2"/>
        <w:rPr>
          <w:b/>
          <w:bCs/>
        </w:rPr>
      </w:pPr>
      <w:r w:rsidRPr="006427F9">
        <w:rPr>
          <w:b/>
          <w:bCs/>
        </w:rPr>
        <w:t xml:space="preserve">Deficient Cybersecurity </w:t>
      </w:r>
      <w:r w:rsidR="006F7F23" w:rsidRPr="006427F9">
        <w:rPr>
          <w:b/>
          <w:bCs/>
        </w:rPr>
        <w:t>Program</w:t>
      </w:r>
    </w:p>
    <w:p w14:paraId="7CD87A33" w14:textId="2F96D6EC" w:rsidR="00064F13" w:rsidRPr="00064F13" w:rsidRDefault="00064F13" w:rsidP="00064F13">
      <w:r>
        <w:t xml:space="preserve">Below are a few key areas of concern detected in the assessment. Numerous physical and logical vulnerabilities, failure in or lack of policy and procedures, as well as several areas for improvement have been identified.  Each item gives a summary of the deficiency as well as its impact to the company and its overall importance in establishing a sound cybersecurity program. </w:t>
      </w:r>
    </w:p>
    <w:p w14:paraId="11B0FFC8" w14:textId="52FB1CAB" w:rsidR="006F7F23" w:rsidRPr="006427F9" w:rsidRDefault="00A42B6B" w:rsidP="006427F9">
      <w:pPr>
        <w:pStyle w:val="Heading3"/>
        <w:rPr>
          <w:b/>
          <w:bCs/>
          <w:u w:val="single"/>
        </w:rPr>
      </w:pPr>
      <w:r w:rsidRPr="006427F9">
        <w:rPr>
          <w:b/>
          <w:bCs/>
          <w:u w:val="single"/>
        </w:rPr>
        <w:t>Assessment</w:t>
      </w:r>
    </w:p>
    <w:p w14:paraId="201CF74F" w14:textId="017D3255" w:rsidR="004C0AA3" w:rsidRDefault="0082630C" w:rsidP="004C0AA3">
      <w:r>
        <w:t>Currently, cybersecurity at Psi</w:t>
      </w:r>
      <w:r w:rsidR="008A25C0">
        <w:t>n</w:t>
      </w:r>
      <w:r>
        <w:t xml:space="preserve">uvia, Inc. is </w:t>
      </w:r>
      <w:r w:rsidR="00382673">
        <w:t>driven solely by the CTO with no clearly defined</w:t>
      </w:r>
      <w:r w:rsidR="008516BF">
        <w:t xml:space="preserve"> standards,</w:t>
      </w:r>
      <w:r w:rsidR="00382673">
        <w:t xml:space="preserve"> policies</w:t>
      </w:r>
      <w:r w:rsidR="00042C9F">
        <w:t>,</w:t>
      </w:r>
      <w:r w:rsidR="00382673">
        <w:t xml:space="preserve"> or procedures</w:t>
      </w:r>
      <w:r w:rsidR="00632C7C">
        <w:t xml:space="preserve"> in place</w:t>
      </w:r>
      <w:r w:rsidR="00C83590">
        <w:t xml:space="preserve">.  </w:t>
      </w:r>
    </w:p>
    <w:p w14:paraId="6BCC1F88" w14:textId="32D5AC07" w:rsidR="007B3099" w:rsidRPr="006427F9" w:rsidRDefault="007B3099" w:rsidP="006427F9">
      <w:pPr>
        <w:pStyle w:val="Heading3"/>
        <w:rPr>
          <w:b/>
          <w:bCs/>
          <w:u w:val="single"/>
        </w:rPr>
      </w:pPr>
      <w:r w:rsidRPr="006427F9">
        <w:rPr>
          <w:b/>
          <w:bCs/>
          <w:u w:val="single"/>
        </w:rPr>
        <w:t>Importance</w:t>
      </w:r>
    </w:p>
    <w:p w14:paraId="5578EAEB" w14:textId="6FD39A7A" w:rsidR="00460A61" w:rsidRDefault="00966CFE" w:rsidP="004E2BBF">
      <w:r>
        <w:t xml:space="preserve">Adhering to </w:t>
      </w:r>
      <w:r w:rsidR="00C372FF">
        <w:t xml:space="preserve">one or multiple </w:t>
      </w:r>
      <w:r w:rsidR="00C11899">
        <w:t>i</w:t>
      </w:r>
      <w:r>
        <w:t xml:space="preserve">ndustry </w:t>
      </w:r>
      <w:r w:rsidR="001A6DB9">
        <w:t xml:space="preserve">Cybersecurity Frameworks and </w:t>
      </w:r>
      <w:r w:rsidR="004531CF">
        <w:t>S</w:t>
      </w:r>
      <w:r w:rsidR="001A6DB9">
        <w:t>tandards</w:t>
      </w:r>
      <w:r w:rsidR="00C372FF">
        <w:t xml:space="preserve"> wil</w:t>
      </w:r>
      <w:r w:rsidR="00E13CC6">
        <w:t xml:space="preserve">l aid </w:t>
      </w:r>
      <w:r w:rsidR="00356EB2">
        <w:t>Psinuvia</w:t>
      </w:r>
      <w:r w:rsidR="00E13CC6">
        <w:t>, Inc. in developing</w:t>
      </w:r>
      <w:r w:rsidR="00D10D47">
        <w:t>, implementing, and maintain</w:t>
      </w:r>
      <w:r w:rsidR="004531CF">
        <w:t>ing</w:t>
      </w:r>
      <w:r w:rsidR="00D10D47">
        <w:t xml:space="preserve"> a viable cybersecurity program. </w:t>
      </w:r>
      <w:r w:rsidR="0033200A">
        <w:t>Having a robust Cybersecurity program</w:t>
      </w:r>
      <w:r w:rsidR="00BA4702">
        <w:t>, in turn,</w:t>
      </w:r>
      <w:r w:rsidR="0033200A">
        <w:t xml:space="preserve"> </w:t>
      </w:r>
      <w:r w:rsidR="003C4FE9">
        <w:t>reduces</w:t>
      </w:r>
      <w:r w:rsidR="0033200A">
        <w:t xml:space="preserve"> </w:t>
      </w:r>
      <w:r w:rsidR="00810BBC">
        <w:t>the</w:t>
      </w:r>
      <w:r w:rsidR="0033200A">
        <w:t xml:space="preserve"> organization</w:t>
      </w:r>
      <w:r w:rsidR="0094066A">
        <w:t>s</w:t>
      </w:r>
      <w:r w:rsidR="00810BBC">
        <w:t>’ asset</w:t>
      </w:r>
      <w:r w:rsidR="003C4FE9">
        <w:t xml:space="preserve"> vulnerability</w:t>
      </w:r>
      <w:r w:rsidR="0094066A">
        <w:t xml:space="preserve"> </w:t>
      </w:r>
      <w:r w:rsidR="003C4FE9">
        <w:t xml:space="preserve">to </w:t>
      </w:r>
      <w:r w:rsidR="00D74FB4">
        <w:t xml:space="preserve">unauthorized access, </w:t>
      </w:r>
      <w:r w:rsidR="0094066A">
        <w:t xml:space="preserve">theft and </w:t>
      </w:r>
      <w:r w:rsidR="005A325E">
        <w:t>damage</w:t>
      </w:r>
      <w:r w:rsidR="00810BBC">
        <w:t>.</w:t>
      </w:r>
      <w:r w:rsidR="00F62B7E">
        <w:t xml:space="preserve"> </w:t>
      </w:r>
      <w:r w:rsidR="006A4C8E">
        <w:t xml:space="preserve">This lack of a defined Cyber Security program </w:t>
      </w:r>
      <w:r w:rsidR="00215688">
        <w:t xml:space="preserve">prevents </w:t>
      </w:r>
      <w:r w:rsidR="00CC021A">
        <w:t>Psi</w:t>
      </w:r>
      <w:r w:rsidR="008A25C0">
        <w:t>nuvia</w:t>
      </w:r>
      <w:r w:rsidR="00384C5B">
        <w:t>, Inc.</w:t>
      </w:r>
      <w:r w:rsidR="00DF6501">
        <w:t xml:space="preserve"> from</w:t>
      </w:r>
      <w:r w:rsidR="00D2048C">
        <w:t xml:space="preserve"> gauging</w:t>
      </w:r>
      <w:r w:rsidR="00DF6501">
        <w:t xml:space="preserve"> the effectiveness of</w:t>
      </w:r>
      <w:r w:rsidR="00D2048C">
        <w:t xml:space="preserve"> </w:t>
      </w:r>
      <w:r w:rsidR="00DF6501">
        <w:t xml:space="preserve">its </w:t>
      </w:r>
      <w:r w:rsidR="00D2048C">
        <w:t>security standard</w:t>
      </w:r>
      <w:r w:rsidR="00DF6501">
        <w:t xml:space="preserve">s </w:t>
      </w:r>
      <w:r w:rsidR="00D2048C">
        <w:t xml:space="preserve">within the company, </w:t>
      </w:r>
      <w:r w:rsidR="003B47D9">
        <w:t xml:space="preserve">conduct proper security self-assessments, and provide its customers, clients, </w:t>
      </w:r>
      <w:r w:rsidR="003923EB">
        <w:t>partners,</w:t>
      </w:r>
      <w:r w:rsidR="003B47D9">
        <w:t xml:space="preserve"> and </w:t>
      </w:r>
      <w:r w:rsidR="00D10302">
        <w:t xml:space="preserve">regulators with the assurance that </w:t>
      </w:r>
      <w:r w:rsidR="000D142C">
        <w:t>the information entrusted to the company is secure</w:t>
      </w:r>
      <w:r w:rsidR="00460A61">
        <w:t>d and safe.</w:t>
      </w:r>
      <w:r w:rsidR="006E49D2">
        <w:t xml:space="preserve"> </w:t>
      </w:r>
      <w:r w:rsidR="007E72D3">
        <w:t xml:space="preserve">In addition, the lack of clearly defined policies, procedures, and standards </w:t>
      </w:r>
      <w:r w:rsidR="00543B12">
        <w:t xml:space="preserve">addressing Psinuvia, Inc security posture prevents </w:t>
      </w:r>
      <w:r w:rsidR="009B0BFA">
        <w:t xml:space="preserve">the organization from detecting security deficiencies </w:t>
      </w:r>
      <w:r w:rsidR="007F7B66">
        <w:t>within Psinuvia, Inc network both on premise and in the cloud</w:t>
      </w:r>
      <w:r w:rsidR="008F2A0E">
        <w:t xml:space="preserve">.  This leaves Psinuvia, vulnerable to external and internal threat actors and prevents proper detection, isolation, </w:t>
      </w:r>
      <w:r w:rsidR="00E82341">
        <w:t>remediation,</w:t>
      </w:r>
      <w:r w:rsidR="008F2A0E">
        <w:t xml:space="preserve"> and reporting of security events.</w:t>
      </w:r>
    </w:p>
    <w:p w14:paraId="031BFAD8" w14:textId="29095469" w:rsidR="006C61C5" w:rsidRDefault="006C61C5" w:rsidP="00614EFC">
      <w:pPr>
        <w:pStyle w:val="Heading3"/>
        <w:rPr>
          <w:b/>
          <w:bCs/>
          <w:u w:val="single"/>
        </w:rPr>
      </w:pPr>
      <w:r>
        <w:rPr>
          <w:b/>
          <w:bCs/>
          <w:u w:val="single"/>
        </w:rPr>
        <w:t xml:space="preserve">Physical </w:t>
      </w:r>
      <w:r w:rsidR="003F6DF2">
        <w:rPr>
          <w:b/>
          <w:bCs/>
          <w:u w:val="single"/>
        </w:rPr>
        <w:t xml:space="preserve">Organizational </w:t>
      </w:r>
      <w:r>
        <w:rPr>
          <w:b/>
          <w:bCs/>
          <w:u w:val="single"/>
        </w:rPr>
        <w:t>Vulnerabilities</w:t>
      </w:r>
    </w:p>
    <w:p w14:paraId="5BCDB3C1" w14:textId="46552881" w:rsidR="009B68DB" w:rsidRDefault="009B68DB" w:rsidP="009B68DB">
      <w:r>
        <w:t xml:space="preserve">Without clearly defined regulations, standards, policies, and procedures, Psinuvia, Inc </w:t>
      </w:r>
      <w:r w:rsidR="004F1E83">
        <w:t>have a</w:t>
      </w:r>
      <w:r>
        <w:t xml:space="preserve"> high susceptible to the following:</w:t>
      </w:r>
    </w:p>
    <w:p w14:paraId="7D75E6B9" w14:textId="77777777" w:rsidR="009B68DB" w:rsidRDefault="009B68DB" w:rsidP="009B68DB">
      <w:pPr>
        <w:pStyle w:val="ListParagraph"/>
        <w:numPr>
          <w:ilvl w:val="0"/>
          <w:numId w:val="7"/>
        </w:numPr>
      </w:pPr>
      <w:r>
        <w:t xml:space="preserve">Tailgating </w:t>
      </w:r>
    </w:p>
    <w:p w14:paraId="2F2151D3" w14:textId="20352F34" w:rsidR="009B68DB" w:rsidRDefault="009B68DB" w:rsidP="009B68DB">
      <w:pPr>
        <w:pStyle w:val="ListParagraph"/>
        <w:numPr>
          <w:ilvl w:val="1"/>
          <w:numId w:val="7"/>
        </w:numPr>
      </w:pPr>
      <w:r>
        <w:t xml:space="preserve">This occurs when unauthorized persons gain access to sensitive locations. Currently, the lack of a security training program and ingress/egress policies increase the likelihood of employee’s allowing and not reporting </w:t>
      </w:r>
      <w:r w:rsidR="00994FAE">
        <w:t>a</w:t>
      </w:r>
      <w:r>
        <w:t xml:space="preserve"> physical threat to the organization.</w:t>
      </w:r>
    </w:p>
    <w:p w14:paraId="2C4CE6FE" w14:textId="77777777" w:rsidR="009B68DB" w:rsidRDefault="009B68DB" w:rsidP="009B68DB">
      <w:pPr>
        <w:pStyle w:val="ListParagraph"/>
        <w:numPr>
          <w:ilvl w:val="0"/>
          <w:numId w:val="7"/>
        </w:numPr>
      </w:pPr>
      <w:r>
        <w:t>Unaccounted Persons</w:t>
      </w:r>
    </w:p>
    <w:p w14:paraId="53A6D591" w14:textId="38E1A8D0" w:rsidR="006C61C5" w:rsidRPr="006C61C5" w:rsidRDefault="009B68DB" w:rsidP="006C61C5">
      <w:pPr>
        <w:pStyle w:val="ListParagraph"/>
        <w:numPr>
          <w:ilvl w:val="1"/>
          <w:numId w:val="7"/>
        </w:numPr>
      </w:pPr>
      <w:r w:rsidRPr="00AE0E88">
        <w:t>Visitors to Psinuvia, inc. occur f</w:t>
      </w:r>
      <w:r>
        <w:t>requently and for different reasons.  Currently, the organization has no policy and procedure on managing non-employee persons nor is there any accountability the visitor or the sponsoring individual.  This inadequacy allows those unaccounted persons free unsupervised access to all areas of Psinuvia.</w:t>
      </w:r>
    </w:p>
    <w:p w14:paraId="3B4449E5" w14:textId="77777777" w:rsidR="002A2AA4" w:rsidRDefault="002A2AA4">
      <w:pPr>
        <w:rPr>
          <w:rFonts w:asciiTheme="majorHAnsi" w:eastAsiaTheme="majorEastAsia" w:hAnsiTheme="majorHAnsi" w:cstheme="majorBidi"/>
          <w:b/>
          <w:bCs/>
          <w:color w:val="1F3763" w:themeColor="accent1" w:themeShade="7F"/>
          <w:sz w:val="24"/>
          <w:szCs w:val="24"/>
          <w:u w:val="single"/>
        </w:rPr>
      </w:pPr>
      <w:r>
        <w:rPr>
          <w:b/>
          <w:bCs/>
          <w:u w:val="single"/>
        </w:rPr>
        <w:br w:type="page"/>
      </w:r>
    </w:p>
    <w:p w14:paraId="4626288C" w14:textId="3479AF3B" w:rsidR="00614EFC" w:rsidRDefault="00614EFC" w:rsidP="00614EFC">
      <w:pPr>
        <w:pStyle w:val="Heading3"/>
        <w:rPr>
          <w:b/>
          <w:bCs/>
          <w:u w:val="single"/>
        </w:rPr>
      </w:pPr>
      <w:r w:rsidRPr="00614EFC">
        <w:rPr>
          <w:b/>
          <w:bCs/>
          <w:u w:val="single"/>
        </w:rPr>
        <w:lastRenderedPageBreak/>
        <w:t xml:space="preserve">Physical </w:t>
      </w:r>
      <w:r w:rsidR="00D435AA">
        <w:rPr>
          <w:b/>
          <w:bCs/>
          <w:u w:val="single"/>
        </w:rPr>
        <w:t xml:space="preserve">Organizational </w:t>
      </w:r>
      <w:r w:rsidRPr="00614EFC">
        <w:rPr>
          <w:b/>
          <w:bCs/>
          <w:u w:val="single"/>
        </w:rPr>
        <w:t>Threats</w:t>
      </w:r>
    </w:p>
    <w:p w14:paraId="45BB72E8" w14:textId="054D70A2" w:rsidR="009B68DB" w:rsidRDefault="00B52037" w:rsidP="00B52037">
      <w:r>
        <w:t>The above vulnerabilities leave Psinuvia, Inc. open to attack by threat actors, both internally and externally.  Some of these threats include:</w:t>
      </w:r>
    </w:p>
    <w:p w14:paraId="5B68DB71" w14:textId="7D186E6B" w:rsidR="00B52037" w:rsidRDefault="003F6DF2" w:rsidP="00B52037">
      <w:pPr>
        <w:pStyle w:val="ListParagraph"/>
        <w:numPr>
          <w:ilvl w:val="0"/>
          <w:numId w:val="8"/>
        </w:numPr>
      </w:pPr>
      <w:r>
        <w:t>Malicious employees</w:t>
      </w:r>
    </w:p>
    <w:p w14:paraId="154B2530" w14:textId="5501D450" w:rsidR="003F6DF2" w:rsidRDefault="003F6DF2" w:rsidP="003F6DF2">
      <w:pPr>
        <w:pStyle w:val="ListParagraph"/>
        <w:numPr>
          <w:ilvl w:val="1"/>
          <w:numId w:val="8"/>
        </w:numPr>
      </w:pPr>
      <w:r>
        <w:t xml:space="preserve">Lack of accountability, detection controls, and non-repudiation makes identifying malicious acts by internal employees, vendors, </w:t>
      </w:r>
      <w:r w:rsidR="00D4218E">
        <w:t>contractors,</w:t>
      </w:r>
      <w:r>
        <w:t xml:space="preserve"> or visitors.</w:t>
      </w:r>
      <w:r w:rsidR="00A96FE7">
        <w:t xml:space="preserve"> </w:t>
      </w:r>
    </w:p>
    <w:p w14:paraId="674B7D52" w14:textId="4D3C945A" w:rsidR="00D4218E" w:rsidRDefault="00C25EBA" w:rsidP="00D4218E">
      <w:pPr>
        <w:pStyle w:val="ListParagraph"/>
        <w:numPr>
          <w:ilvl w:val="0"/>
          <w:numId w:val="8"/>
        </w:numPr>
      </w:pPr>
      <w:r>
        <w:t>Natural Disaster</w:t>
      </w:r>
      <w:r w:rsidR="00C80E1E">
        <w:t>s</w:t>
      </w:r>
    </w:p>
    <w:p w14:paraId="216B4535" w14:textId="377B8441" w:rsidR="00D32400" w:rsidRDefault="00C25EBA" w:rsidP="00D32400">
      <w:pPr>
        <w:pStyle w:val="ListParagraph"/>
        <w:numPr>
          <w:ilvl w:val="1"/>
          <w:numId w:val="8"/>
        </w:numPr>
      </w:pPr>
      <w:r>
        <w:t>Lack of proper threat assessment and planning leaves Psinuvia unprepared for natural disasters, both seasonal and unexpected</w:t>
      </w:r>
      <w:r w:rsidR="00BE14DF">
        <w:t xml:space="preserve"> which increases the likelihood that recovery will not be possible.</w:t>
      </w:r>
    </w:p>
    <w:p w14:paraId="292A11B0" w14:textId="36DD4867" w:rsidR="00BE557A" w:rsidRPr="006427F9" w:rsidRDefault="00D04A72" w:rsidP="006427F9">
      <w:pPr>
        <w:pStyle w:val="Heading3"/>
        <w:rPr>
          <w:b/>
          <w:bCs/>
          <w:u w:val="single"/>
        </w:rPr>
      </w:pPr>
      <w:r>
        <w:rPr>
          <w:b/>
          <w:bCs/>
          <w:u w:val="single"/>
        </w:rPr>
        <w:t xml:space="preserve">Logical Software </w:t>
      </w:r>
      <w:r w:rsidR="00833E7D">
        <w:rPr>
          <w:b/>
          <w:bCs/>
          <w:u w:val="single"/>
        </w:rPr>
        <w:t>Vulnerabilit</w:t>
      </w:r>
      <w:r w:rsidR="00AB027D">
        <w:rPr>
          <w:b/>
          <w:bCs/>
          <w:u w:val="single"/>
        </w:rPr>
        <w:t>ies</w:t>
      </w:r>
    </w:p>
    <w:p w14:paraId="70D72503" w14:textId="40176B99" w:rsidR="008648FE" w:rsidRDefault="00A36F75" w:rsidP="00F63FF8">
      <w:r>
        <w:t xml:space="preserve">Failure to adhere to government and industry standards in securing </w:t>
      </w:r>
      <w:r w:rsidR="00FF7F32">
        <w:t xml:space="preserve">client </w:t>
      </w:r>
      <w:r>
        <w:t>data</w:t>
      </w:r>
      <w:r w:rsidR="00FF7F32">
        <w:t>,</w:t>
      </w:r>
      <w:r>
        <w:t xml:space="preserve"> at rest and transit</w:t>
      </w:r>
      <w:r w:rsidR="00FF7F32">
        <w:t>,</w:t>
      </w:r>
      <w:r>
        <w:t xml:space="preserve"> </w:t>
      </w:r>
      <w:r w:rsidR="008A5A18">
        <w:t>makes</w:t>
      </w:r>
      <w:r>
        <w:t xml:space="preserve"> Psinuvia, Inc</w:t>
      </w:r>
      <w:r w:rsidR="00737589">
        <w:t>.</w:t>
      </w:r>
      <w:r>
        <w:t xml:space="preserve"> </w:t>
      </w:r>
      <w:r w:rsidR="008A5A18">
        <w:t xml:space="preserve">vulnerable </w:t>
      </w:r>
      <w:r>
        <w:t>to massive financial penalties and/or criminal liability</w:t>
      </w:r>
      <w:r w:rsidR="002218BD">
        <w:t xml:space="preserve"> by state and federal entities</w:t>
      </w:r>
      <w:r>
        <w:t>.</w:t>
      </w:r>
      <w:r w:rsidR="002218BD">
        <w:t xml:space="preserve"> In addition to the </w:t>
      </w:r>
      <w:r w:rsidR="006553EB">
        <w:t xml:space="preserve">loss of capital, a loss of confidence in Psinuvia, its products and services is also a high possibility caused by potential bad press, public scrutiny of displeased clients and/or partners. </w:t>
      </w:r>
    </w:p>
    <w:p w14:paraId="2BB7E8E3" w14:textId="6A1E3A52" w:rsidR="005E5879" w:rsidRDefault="00BF04D8" w:rsidP="00F63FF8">
      <w:r>
        <w:t>Implementation of the Software Development Life Cycle would greatly mitigate the following vulnerabilities found in Psinuvia’s existing process and procedures:</w:t>
      </w:r>
    </w:p>
    <w:p w14:paraId="05E0970B" w14:textId="0CF659A7" w:rsidR="001D63F7" w:rsidRDefault="001B77FE" w:rsidP="001B77FE">
      <w:pPr>
        <w:pStyle w:val="ListParagraph"/>
        <w:numPr>
          <w:ilvl w:val="0"/>
          <w:numId w:val="10"/>
        </w:numPr>
      </w:pPr>
      <w:r>
        <w:t xml:space="preserve">Violation of least privilege </w:t>
      </w:r>
    </w:p>
    <w:p w14:paraId="0860CF24" w14:textId="1232AFA8" w:rsidR="00657E07" w:rsidRDefault="00657E07" w:rsidP="00657E07">
      <w:pPr>
        <w:pStyle w:val="ListParagraph"/>
        <w:numPr>
          <w:ilvl w:val="1"/>
          <w:numId w:val="10"/>
        </w:numPr>
      </w:pPr>
      <w:r>
        <w:t xml:space="preserve">Ensuring that </w:t>
      </w:r>
      <w:r w:rsidR="004D6464">
        <w:t xml:space="preserve">applications, users, and processes have only the </w:t>
      </w:r>
      <w:r w:rsidR="00282C1B">
        <w:t>privileges</w:t>
      </w:r>
      <w:r w:rsidR="004D6464">
        <w:t xml:space="preserve"> and access needed to perform their tasks.</w:t>
      </w:r>
    </w:p>
    <w:p w14:paraId="5DF00A96" w14:textId="022D01EC" w:rsidR="00282C1B" w:rsidRDefault="00814A6E" w:rsidP="00282C1B">
      <w:pPr>
        <w:pStyle w:val="ListParagraph"/>
        <w:numPr>
          <w:ilvl w:val="0"/>
          <w:numId w:val="10"/>
        </w:numPr>
      </w:pPr>
      <w:r>
        <w:t>D</w:t>
      </w:r>
      <w:r w:rsidR="006C1930">
        <w:t xml:space="preserve">ata </w:t>
      </w:r>
      <w:r>
        <w:t xml:space="preserve">input </w:t>
      </w:r>
      <w:r w:rsidR="006C1930">
        <w:t>validation controls</w:t>
      </w:r>
    </w:p>
    <w:p w14:paraId="5C9DF513" w14:textId="46DA648E" w:rsidR="00AF3242" w:rsidRDefault="00814A6E" w:rsidP="00AF3242">
      <w:pPr>
        <w:pStyle w:val="ListParagraph"/>
        <w:numPr>
          <w:ilvl w:val="1"/>
          <w:numId w:val="10"/>
        </w:numPr>
      </w:pPr>
      <w:r>
        <w:t>Lack of data</w:t>
      </w:r>
      <w:r w:rsidR="00325444">
        <w:t xml:space="preserve"> </w:t>
      </w:r>
      <w:r>
        <w:t xml:space="preserve">validation </w:t>
      </w:r>
      <w:r w:rsidR="00325444">
        <w:t>at the database server allows for malformed input as well as the malicious code.</w:t>
      </w:r>
    </w:p>
    <w:p w14:paraId="5905CDB1" w14:textId="62437898" w:rsidR="006759A4" w:rsidRDefault="006759A4" w:rsidP="006759A4">
      <w:pPr>
        <w:pStyle w:val="Heading3"/>
        <w:rPr>
          <w:b/>
          <w:bCs/>
          <w:u w:val="single"/>
        </w:rPr>
      </w:pPr>
      <w:r w:rsidRPr="006759A4">
        <w:rPr>
          <w:b/>
          <w:bCs/>
          <w:u w:val="single"/>
        </w:rPr>
        <w:t>Logical Software Threats</w:t>
      </w:r>
    </w:p>
    <w:p w14:paraId="4DE4108A" w14:textId="6E4EB97A" w:rsidR="00F97707" w:rsidRDefault="00F97707" w:rsidP="00F97707">
      <w:r>
        <w:t xml:space="preserve">The above logical vulnerabilities </w:t>
      </w:r>
      <w:r w:rsidR="009F54A1">
        <w:t>in Psinuvia’s development process for its products make the following threats highly probable:</w:t>
      </w:r>
    </w:p>
    <w:p w14:paraId="10D8E2CD" w14:textId="65C3983B" w:rsidR="009F54A1" w:rsidRDefault="00096EBF" w:rsidP="00096EBF">
      <w:pPr>
        <w:pStyle w:val="ListParagraph"/>
        <w:numPr>
          <w:ilvl w:val="0"/>
          <w:numId w:val="11"/>
        </w:numPr>
      </w:pPr>
      <w:r>
        <w:t>Information Disclosure</w:t>
      </w:r>
    </w:p>
    <w:p w14:paraId="655B76CD" w14:textId="15758960" w:rsidR="00096EBF" w:rsidRDefault="0067105A" w:rsidP="00096EBF">
      <w:pPr>
        <w:pStyle w:val="ListParagraph"/>
        <w:numPr>
          <w:ilvl w:val="1"/>
          <w:numId w:val="11"/>
        </w:numPr>
      </w:pPr>
      <w:r>
        <w:t xml:space="preserve">Poor software development practices can lead to the loss of confidentiality of </w:t>
      </w:r>
      <w:r w:rsidR="00D72BBE">
        <w:t>client and company data by means of eavesdropping</w:t>
      </w:r>
      <w:r w:rsidR="005C427E">
        <w:t xml:space="preserve"> or unintended access to privileged information.</w:t>
      </w:r>
    </w:p>
    <w:p w14:paraId="115A6B6B" w14:textId="70299CAD" w:rsidR="00650DB6" w:rsidRDefault="00650DB6" w:rsidP="00650DB6">
      <w:pPr>
        <w:pStyle w:val="ListParagraph"/>
        <w:numPr>
          <w:ilvl w:val="0"/>
          <w:numId w:val="11"/>
        </w:numPr>
      </w:pPr>
      <w:r>
        <w:t>Denial of Service</w:t>
      </w:r>
    </w:p>
    <w:p w14:paraId="68F6BEF9" w14:textId="58E6C02C" w:rsidR="002A2AA4" w:rsidRDefault="00650DB6" w:rsidP="00650DB6">
      <w:pPr>
        <w:pStyle w:val="ListParagraph"/>
        <w:numPr>
          <w:ilvl w:val="1"/>
          <w:numId w:val="11"/>
        </w:numPr>
      </w:pPr>
      <w:r>
        <w:t xml:space="preserve">Failure to detect </w:t>
      </w:r>
      <w:r w:rsidR="001A2FC3">
        <w:t xml:space="preserve">flaws or properly secure application code and lead to a malicious attempt to compromise the availability of the application or data. </w:t>
      </w:r>
    </w:p>
    <w:p w14:paraId="61B0DBA2" w14:textId="6EBB1643" w:rsidR="00650DB6" w:rsidRPr="00F97707" w:rsidRDefault="00650DB6" w:rsidP="002A2AA4"/>
    <w:p w14:paraId="41635002" w14:textId="7A32509A" w:rsidR="006759A4" w:rsidRDefault="006759A4" w:rsidP="006759A4"/>
    <w:p w14:paraId="543EDAEF" w14:textId="77777777" w:rsidR="002A2AA4" w:rsidRDefault="002A2AA4">
      <w:pPr>
        <w:rPr>
          <w:rFonts w:asciiTheme="majorHAnsi" w:eastAsiaTheme="majorEastAsia" w:hAnsiTheme="majorHAnsi" w:cstheme="majorBidi"/>
          <w:b/>
          <w:bCs/>
          <w:color w:val="2F5496" w:themeColor="accent1" w:themeShade="BF"/>
          <w:sz w:val="32"/>
          <w:szCs w:val="32"/>
        </w:rPr>
      </w:pPr>
      <w:r>
        <w:rPr>
          <w:b/>
          <w:bCs/>
        </w:rPr>
        <w:br w:type="page"/>
      </w:r>
    </w:p>
    <w:p w14:paraId="78D20655" w14:textId="1A51EEB2" w:rsidR="00B47540" w:rsidRDefault="00EC0FC7" w:rsidP="00EB60C7">
      <w:pPr>
        <w:pStyle w:val="Heading1"/>
        <w:jc w:val="center"/>
        <w:rPr>
          <w:b/>
          <w:bCs/>
        </w:rPr>
      </w:pPr>
      <w:r w:rsidRPr="00EB60C7">
        <w:rPr>
          <w:b/>
          <w:bCs/>
        </w:rPr>
        <w:lastRenderedPageBreak/>
        <w:t>Cyber Security Industry S</w:t>
      </w:r>
      <w:r w:rsidR="002E324D">
        <w:rPr>
          <w:b/>
          <w:bCs/>
        </w:rPr>
        <w:t>t</w:t>
      </w:r>
      <w:r w:rsidRPr="00EB60C7">
        <w:rPr>
          <w:b/>
          <w:bCs/>
        </w:rPr>
        <w:t>andards</w:t>
      </w:r>
    </w:p>
    <w:p w14:paraId="267D8D39" w14:textId="77777777" w:rsidR="001A658C" w:rsidRDefault="001A658C" w:rsidP="001A658C"/>
    <w:p w14:paraId="6C63AB52" w14:textId="76110089" w:rsidR="003A6A13" w:rsidRDefault="00894001" w:rsidP="002E324D">
      <w:r>
        <w:t xml:space="preserve">The following provides several industry </w:t>
      </w:r>
      <w:r w:rsidR="005A325E">
        <w:t>standards as well as a review of a few Cybersecurity Frameworks that Psinuvia</w:t>
      </w:r>
      <w:r w:rsidR="00507D5D">
        <w:t>, Inc.</w:t>
      </w:r>
      <w:r w:rsidR="005A325E">
        <w:t xml:space="preserve"> could leverage to remediate the discovered deficiencies</w:t>
      </w:r>
      <w:r w:rsidR="00253DBA">
        <w:t xml:space="preserve">.  </w:t>
      </w:r>
      <w:r w:rsidR="000C4A96">
        <w:t xml:space="preserve">These industry standards and frameworks </w:t>
      </w:r>
      <w:r w:rsidR="00405FAC">
        <w:t>are</w:t>
      </w:r>
      <w:r w:rsidR="000C4A96">
        <w:t xml:space="preserve"> crucial to the development of </w:t>
      </w:r>
      <w:r w:rsidR="00FE1C57">
        <w:t xml:space="preserve">policies, procedures, and </w:t>
      </w:r>
      <w:r w:rsidR="003A6A13">
        <w:t>standards meant to secure Psinuvia, Inc and its interests.</w:t>
      </w:r>
    </w:p>
    <w:p w14:paraId="74A538E3" w14:textId="36B094C9" w:rsidR="003A6A13" w:rsidRPr="00426D35" w:rsidRDefault="008E53A1" w:rsidP="004B69F6">
      <w:pPr>
        <w:pStyle w:val="Heading2"/>
        <w:rPr>
          <w:b/>
          <w:bCs/>
        </w:rPr>
      </w:pPr>
      <w:r w:rsidRPr="00426D35">
        <w:rPr>
          <w:b/>
          <w:bCs/>
        </w:rPr>
        <w:t>The NIST Cybersecurity Framework</w:t>
      </w:r>
    </w:p>
    <w:p w14:paraId="117FB842" w14:textId="46762B2C" w:rsidR="008E53A1" w:rsidRDefault="00D17CDD" w:rsidP="001B4BA3">
      <w:pPr>
        <w:rPr>
          <w:rFonts w:cstheme="minorHAnsi"/>
          <w:color w:val="000000"/>
        </w:rPr>
      </w:pPr>
      <w:r w:rsidRPr="001B4BA3">
        <w:rPr>
          <w:rFonts w:cstheme="minorHAnsi"/>
        </w:rPr>
        <w:t>The National Institute</w:t>
      </w:r>
      <w:r w:rsidR="003923EB" w:rsidRPr="001B4BA3">
        <w:rPr>
          <w:rFonts w:cstheme="minorHAnsi"/>
        </w:rPr>
        <w:t xml:space="preserve"> of Standards and Technology (NIST)</w:t>
      </w:r>
      <w:r w:rsidR="009C5797" w:rsidRPr="001B4BA3">
        <w:rPr>
          <w:rFonts w:cstheme="minorHAnsi"/>
        </w:rPr>
        <w:t>, a</w:t>
      </w:r>
      <w:r w:rsidR="00183E39" w:rsidRPr="001B4BA3">
        <w:rPr>
          <w:rFonts w:cstheme="minorHAnsi"/>
        </w:rPr>
        <w:t>n arm of the Department of Co</w:t>
      </w:r>
      <w:r w:rsidR="005F4EDC" w:rsidRPr="001B4BA3">
        <w:rPr>
          <w:rFonts w:cstheme="minorHAnsi"/>
        </w:rPr>
        <w:t>m</w:t>
      </w:r>
      <w:r w:rsidR="00183E39" w:rsidRPr="001B4BA3">
        <w:rPr>
          <w:rFonts w:cstheme="minorHAnsi"/>
        </w:rPr>
        <w:t>merce</w:t>
      </w:r>
      <w:r w:rsidR="005F4EDC" w:rsidRPr="001B4BA3">
        <w:rPr>
          <w:rFonts w:cstheme="minorHAnsi"/>
        </w:rPr>
        <w:t>,</w:t>
      </w:r>
      <w:r w:rsidR="007628C6" w:rsidRPr="001B4BA3">
        <w:rPr>
          <w:rFonts w:cstheme="minorHAnsi"/>
        </w:rPr>
        <w:t xml:space="preserve"> was tasked by the White House</w:t>
      </w:r>
      <w:r w:rsidR="00C618A8" w:rsidRPr="001B4BA3">
        <w:rPr>
          <w:rFonts w:cstheme="minorHAnsi"/>
        </w:rPr>
        <w:t>, via</w:t>
      </w:r>
      <w:r w:rsidR="009C5797" w:rsidRPr="001B4BA3">
        <w:rPr>
          <w:rFonts w:cstheme="minorHAnsi"/>
        </w:rPr>
        <w:t xml:space="preserve"> the issuance of</w:t>
      </w:r>
      <w:r w:rsidR="00C618A8" w:rsidRPr="001B4BA3">
        <w:rPr>
          <w:rFonts w:cstheme="minorHAnsi"/>
        </w:rPr>
        <w:t xml:space="preserve"> Executive Order 13636</w:t>
      </w:r>
      <w:r w:rsidR="009C5797" w:rsidRPr="001B4BA3">
        <w:rPr>
          <w:rFonts w:cstheme="minorHAnsi"/>
        </w:rPr>
        <w:t xml:space="preserve">, </w:t>
      </w:r>
      <w:r w:rsidR="004B12E7" w:rsidRPr="001B4BA3">
        <w:rPr>
          <w:rFonts w:cstheme="minorHAnsi"/>
        </w:rPr>
        <w:t xml:space="preserve">requiring the agency to </w:t>
      </w:r>
      <w:r w:rsidR="00213E0E" w:rsidRPr="001B4BA3">
        <w:rPr>
          <w:rFonts w:cstheme="minorHAnsi"/>
        </w:rPr>
        <w:t xml:space="preserve">develop </w:t>
      </w:r>
      <w:r w:rsidR="006939C2" w:rsidRPr="001B4BA3">
        <w:rPr>
          <w:rFonts w:cstheme="minorHAnsi"/>
        </w:rPr>
        <w:t>a foundation that would foster “</w:t>
      </w:r>
      <w:r w:rsidR="006939C2" w:rsidRPr="001B4BA3">
        <w:rPr>
          <w:rFonts w:cstheme="minorHAnsi"/>
          <w:color w:val="000000"/>
        </w:rPr>
        <w:t>the sharing of cybersecurity threat information, and on building a set of current and successful approaches, a framework, for reducing risks to critical infrastructure.</w:t>
      </w:r>
      <w:r w:rsidR="000A589B" w:rsidRPr="001B4BA3">
        <w:rPr>
          <w:rFonts w:cstheme="minorHAnsi"/>
          <w:color w:val="000000"/>
        </w:rPr>
        <w:t xml:space="preserve">” </w:t>
      </w:r>
      <w:sdt>
        <w:sdtPr>
          <w:rPr>
            <w:rFonts w:cstheme="minorHAnsi"/>
            <w:color w:val="000000"/>
          </w:rPr>
          <w:id w:val="415600866"/>
          <w:citation/>
        </w:sdtPr>
        <w:sdtContent>
          <w:r w:rsidR="000A589B" w:rsidRPr="001B4BA3">
            <w:rPr>
              <w:rFonts w:cstheme="minorHAnsi"/>
              <w:color w:val="000000"/>
            </w:rPr>
            <w:fldChar w:fldCharType="begin"/>
          </w:r>
          <w:r w:rsidR="000A589B" w:rsidRPr="001B4BA3">
            <w:rPr>
              <w:rFonts w:cstheme="minorHAnsi"/>
              <w:color w:val="000000"/>
            </w:rPr>
            <w:instrText xml:space="preserve"> CITATION His19 \l 1033 </w:instrText>
          </w:r>
          <w:r w:rsidR="000A589B" w:rsidRPr="001B4BA3">
            <w:rPr>
              <w:rFonts w:cstheme="minorHAnsi"/>
              <w:color w:val="000000"/>
            </w:rPr>
            <w:fldChar w:fldCharType="separate"/>
          </w:r>
          <w:r w:rsidR="000A589B" w:rsidRPr="001B4BA3">
            <w:rPr>
              <w:rFonts w:cstheme="minorHAnsi"/>
              <w:noProof/>
              <w:color w:val="000000"/>
            </w:rPr>
            <w:t>(History and Creation of the Framework, 2019)</w:t>
          </w:r>
          <w:r w:rsidR="000A589B" w:rsidRPr="001B4BA3">
            <w:rPr>
              <w:rFonts w:cstheme="minorHAnsi"/>
              <w:color w:val="000000"/>
            </w:rPr>
            <w:fldChar w:fldCharType="end"/>
          </w:r>
        </w:sdtContent>
      </w:sdt>
      <w:r w:rsidR="001B4BA3" w:rsidRPr="001B4BA3">
        <w:rPr>
          <w:rFonts w:cstheme="minorHAnsi"/>
          <w:color w:val="000000"/>
        </w:rPr>
        <w:t xml:space="preserve">.  </w:t>
      </w:r>
      <w:r w:rsidR="00D067CA">
        <w:rPr>
          <w:rFonts w:cstheme="minorHAnsi"/>
          <w:color w:val="000000"/>
        </w:rPr>
        <w:t xml:space="preserve">This framework </w:t>
      </w:r>
      <w:r w:rsidR="0090214F">
        <w:rPr>
          <w:rFonts w:cstheme="minorHAnsi"/>
          <w:color w:val="000000"/>
        </w:rPr>
        <w:t xml:space="preserve">established a </w:t>
      </w:r>
      <w:r w:rsidR="00982E16">
        <w:rPr>
          <w:rFonts w:cstheme="minorHAnsi"/>
          <w:color w:val="000000"/>
        </w:rPr>
        <w:t xml:space="preserve">common </w:t>
      </w:r>
      <w:r w:rsidR="00D067CA" w:rsidRPr="00D067CA">
        <w:rPr>
          <w:rFonts w:cstheme="minorHAnsi"/>
          <w:color w:val="000000"/>
        </w:rPr>
        <w:t>language for understanding, managing, and expressing cybersecurity risk</w:t>
      </w:r>
      <w:r w:rsidR="003C566F">
        <w:rPr>
          <w:rFonts w:cstheme="minorHAnsi"/>
          <w:color w:val="000000"/>
        </w:rPr>
        <w:t xml:space="preserve">s </w:t>
      </w:r>
      <w:r w:rsidR="00694502">
        <w:rPr>
          <w:rFonts w:cstheme="minorHAnsi"/>
          <w:color w:val="000000"/>
        </w:rPr>
        <w:t>for</w:t>
      </w:r>
      <w:r w:rsidR="00694502" w:rsidRPr="00D067CA">
        <w:rPr>
          <w:rFonts w:cstheme="minorHAnsi"/>
          <w:color w:val="000000"/>
        </w:rPr>
        <w:t xml:space="preserve"> </w:t>
      </w:r>
      <w:r w:rsidR="00694502">
        <w:rPr>
          <w:rFonts w:cstheme="minorHAnsi"/>
          <w:color w:val="000000"/>
        </w:rPr>
        <w:t>stakeholders</w:t>
      </w:r>
      <w:r w:rsidR="00982E16">
        <w:rPr>
          <w:rFonts w:cstheme="minorHAnsi"/>
          <w:color w:val="000000"/>
        </w:rPr>
        <w:t xml:space="preserve"> of any organization or agency</w:t>
      </w:r>
      <w:r w:rsidR="00AB3436">
        <w:rPr>
          <w:rFonts w:cstheme="minorHAnsi"/>
          <w:color w:val="000000"/>
        </w:rPr>
        <w:t>.</w:t>
      </w:r>
      <w:r w:rsidR="001A2D1D">
        <w:rPr>
          <w:rFonts w:cstheme="minorHAnsi"/>
          <w:color w:val="000000"/>
        </w:rPr>
        <w:t xml:space="preserve"> </w:t>
      </w:r>
      <w:r w:rsidR="00491EF9">
        <w:rPr>
          <w:rFonts w:cstheme="minorHAnsi"/>
          <w:color w:val="000000"/>
        </w:rPr>
        <w:t>The Cor</w:t>
      </w:r>
      <w:r w:rsidR="000D79A4">
        <w:rPr>
          <w:rFonts w:cstheme="minorHAnsi"/>
          <w:color w:val="000000"/>
        </w:rPr>
        <w:t>e</w:t>
      </w:r>
      <w:r w:rsidR="00491EF9">
        <w:rPr>
          <w:rFonts w:cstheme="minorHAnsi"/>
          <w:color w:val="000000"/>
        </w:rPr>
        <w:t xml:space="preserve"> of the NIST Cybersecurity framework </w:t>
      </w:r>
      <w:r w:rsidR="00A2526D">
        <w:rPr>
          <w:rFonts w:cstheme="minorHAnsi"/>
          <w:color w:val="000000"/>
        </w:rPr>
        <w:t xml:space="preserve">consists of 5 functions that </w:t>
      </w:r>
      <w:r w:rsidR="00D710A3">
        <w:rPr>
          <w:rFonts w:cstheme="minorHAnsi"/>
          <w:color w:val="000000"/>
        </w:rPr>
        <w:t>are</w:t>
      </w:r>
      <w:r w:rsidR="00A2526D" w:rsidRPr="00A2526D">
        <w:rPr>
          <w:rFonts w:cstheme="minorHAnsi"/>
          <w:color w:val="000000"/>
        </w:rPr>
        <w:t xml:space="preserve"> concurrently and continuously</w:t>
      </w:r>
      <w:r w:rsidR="00D710A3">
        <w:rPr>
          <w:rFonts w:cstheme="minorHAnsi"/>
          <w:color w:val="000000"/>
        </w:rPr>
        <w:t xml:space="preserve"> performed </w:t>
      </w:r>
      <w:r w:rsidR="00A2526D" w:rsidRPr="00A2526D">
        <w:rPr>
          <w:rFonts w:cstheme="minorHAnsi"/>
          <w:color w:val="000000"/>
        </w:rPr>
        <w:t xml:space="preserve">to form </w:t>
      </w:r>
      <w:r w:rsidR="002D03B8" w:rsidRPr="00A2526D">
        <w:rPr>
          <w:rFonts w:cstheme="minorHAnsi"/>
          <w:color w:val="000000"/>
        </w:rPr>
        <w:t>a</w:t>
      </w:r>
      <w:r w:rsidR="00D710A3">
        <w:rPr>
          <w:rFonts w:cstheme="minorHAnsi"/>
          <w:color w:val="000000"/>
        </w:rPr>
        <w:t xml:space="preserve"> </w:t>
      </w:r>
      <w:r w:rsidR="00A2526D" w:rsidRPr="00A2526D">
        <w:rPr>
          <w:rFonts w:cstheme="minorHAnsi"/>
          <w:color w:val="000000"/>
        </w:rPr>
        <w:t xml:space="preserve">culture </w:t>
      </w:r>
      <w:r w:rsidR="00D710A3">
        <w:rPr>
          <w:rFonts w:cstheme="minorHAnsi"/>
          <w:color w:val="000000"/>
        </w:rPr>
        <w:t xml:space="preserve">within </w:t>
      </w:r>
      <w:r w:rsidR="00EC6D79">
        <w:rPr>
          <w:rFonts w:cstheme="minorHAnsi"/>
          <w:color w:val="000000"/>
        </w:rPr>
        <w:t>an</w:t>
      </w:r>
      <w:r w:rsidR="00D710A3">
        <w:rPr>
          <w:rFonts w:cstheme="minorHAnsi"/>
          <w:color w:val="000000"/>
        </w:rPr>
        <w:t xml:space="preserve"> </w:t>
      </w:r>
      <w:r w:rsidR="005647A0">
        <w:rPr>
          <w:rFonts w:cstheme="minorHAnsi"/>
          <w:color w:val="000000"/>
        </w:rPr>
        <w:t xml:space="preserve">entity </w:t>
      </w:r>
      <w:r w:rsidR="00A2526D" w:rsidRPr="00A2526D">
        <w:rPr>
          <w:rFonts w:cstheme="minorHAnsi"/>
          <w:color w:val="000000"/>
        </w:rPr>
        <w:t xml:space="preserve">that </w:t>
      </w:r>
      <w:r w:rsidR="000048EC">
        <w:rPr>
          <w:rFonts w:cstheme="minorHAnsi"/>
          <w:color w:val="000000"/>
        </w:rPr>
        <w:t>can address</w:t>
      </w:r>
      <w:r w:rsidR="005647A0">
        <w:rPr>
          <w:rFonts w:cstheme="minorHAnsi"/>
          <w:color w:val="000000"/>
        </w:rPr>
        <w:t xml:space="preserve"> the </w:t>
      </w:r>
      <w:r w:rsidR="00A2526D" w:rsidRPr="00A2526D">
        <w:rPr>
          <w:rFonts w:cstheme="minorHAnsi"/>
          <w:color w:val="000000"/>
        </w:rPr>
        <w:t>dynamic</w:t>
      </w:r>
      <w:r w:rsidR="005647A0">
        <w:rPr>
          <w:rFonts w:cstheme="minorHAnsi"/>
          <w:color w:val="000000"/>
        </w:rPr>
        <w:t xml:space="preserve">s of </w:t>
      </w:r>
      <w:r w:rsidR="00A2526D" w:rsidRPr="00A2526D">
        <w:rPr>
          <w:rFonts w:cstheme="minorHAnsi"/>
          <w:color w:val="000000"/>
        </w:rPr>
        <w:t>cybersecurity risk</w:t>
      </w:r>
      <w:r w:rsidR="005647A0">
        <w:rPr>
          <w:rFonts w:cstheme="minorHAnsi"/>
          <w:color w:val="000000"/>
        </w:rPr>
        <w:t>.</w:t>
      </w:r>
      <w:r w:rsidR="00EC6BEB">
        <w:rPr>
          <w:rFonts w:cstheme="minorHAnsi"/>
          <w:color w:val="000000"/>
        </w:rPr>
        <w:t xml:space="preserve"> These functions are as follows:</w:t>
      </w:r>
    </w:p>
    <w:p w14:paraId="41CD0670" w14:textId="075DA548" w:rsidR="00AE0E40" w:rsidRPr="00DF639F" w:rsidRDefault="00FE0042" w:rsidP="00DF639F">
      <w:pPr>
        <w:pStyle w:val="ListParagraph"/>
        <w:numPr>
          <w:ilvl w:val="0"/>
          <w:numId w:val="2"/>
        </w:numPr>
        <w:shd w:val="clear" w:color="auto" w:fill="FFFFFF"/>
        <w:spacing w:after="0" w:line="240" w:lineRule="auto"/>
        <w:rPr>
          <w:rFonts w:ascii="Lato" w:eastAsia="Times New Roman" w:hAnsi="Lato" w:cs="Times New Roman"/>
          <w:color w:val="333333"/>
          <w:sz w:val="21"/>
          <w:szCs w:val="21"/>
        </w:rPr>
      </w:pPr>
      <w:r w:rsidRPr="00AE0E40">
        <w:rPr>
          <w:rFonts w:cstheme="minorHAnsi"/>
          <w:b/>
          <w:bCs/>
        </w:rPr>
        <w:t>Identify</w:t>
      </w:r>
      <w:r w:rsidRPr="00AE0E40">
        <w:rPr>
          <w:rFonts w:cstheme="minorHAnsi"/>
        </w:rPr>
        <w:t xml:space="preserve"> </w:t>
      </w:r>
      <w:r w:rsidR="004A0D2C">
        <w:rPr>
          <w:rFonts w:cstheme="minorHAnsi"/>
        </w:rPr>
        <w:t xml:space="preserve">- </w:t>
      </w:r>
      <w:r w:rsidR="00BC71EB">
        <w:rPr>
          <w:rFonts w:cstheme="minorHAnsi"/>
        </w:rPr>
        <w:t xml:space="preserve">Establish </w:t>
      </w:r>
      <w:r w:rsidRPr="00AE0E40">
        <w:rPr>
          <w:rFonts w:cstheme="minorHAnsi"/>
        </w:rPr>
        <w:t xml:space="preserve">an organizational understanding </w:t>
      </w:r>
      <w:r w:rsidR="00B56F97" w:rsidRPr="00AE0E40">
        <w:rPr>
          <w:rFonts w:cstheme="minorHAnsi"/>
        </w:rPr>
        <w:t xml:space="preserve">of the business, the physical and logical resources used to support the critical functions, and the related cybersecurity risks </w:t>
      </w:r>
      <w:r w:rsidRPr="00AE0E40">
        <w:rPr>
          <w:rFonts w:cstheme="minorHAnsi"/>
        </w:rPr>
        <w:t>to</w:t>
      </w:r>
      <w:r w:rsidR="00AE0E40" w:rsidRPr="00AE0E40">
        <w:rPr>
          <w:rFonts w:cstheme="minorHAnsi"/>
        </w:rPr>
        <w:t xml:space="preserve"> the organization</w:t>
      </w:r>
      <w:r w:rsidR="00AE0E40">
        <w:rPr>
          <w:rFonts w:cstheme="minorHAnsi"/>
        </w:rPr>
        <w:t>.</w:t>
      </w:r>
    </w:p>
    <w:p w14:paraId="5CE353D0" w14:textId="009B31F2" w:rsidR="009D4F5F" w:rsidRPr="009D4F5F" w:rsidRDefault="00DF639F" w:rsidP="009D4F5F">
      <w:pPr>
        <w:pStyle w:val="ListParagraph"/>
        <w:numPr>
          <w:ilvl w:val="0"/>
          <w:numId w:val="2"/>
        </w:numPr>
        <w:shd w:val="clear" w:color="auto" w:fill="FFFFFF"/>
        <w:spacing w:after="0" w:line="240" w:lineRule="auto"/>
        <w:rPr>
          <w:rFonts w:ascii="Lato" w:eastAsia="Times New Roman" w:hAnsi="Lato" w:cs="Times New Roman"/>
          <w:color w:val="333333"/>
          <w:sz w:val="21"/>
          <w:szCs w:val="21"/>
        </w:rPr>
      </w:pPr>
      <w:r>
        <w:rPr>
          <w:rFonts w:cstheme="minorHAnsi"/>
          <w:b/>
          <w:bCs/>
        </w:rPr>
        <w:t xml:space="preserve">Protect </w:t>
      </w:r>
      <w:r w:rsidR="00397860">
        <w:rPr>
          <w:rFonts w:cstheme="minorHAnsi"/>
        </w:rPr>
        <w:t xml:space="preserve">– The </w:t>
      </w:r>
      <w:r w:rsidR="00115615">
        <w:rPr>
          <w:rFonts w:cstheme="minorHAnsi"/>
        </w:rPr>
        <w:t xml:space="preserve">physical and logical </w:t>
      </w:r>
      <w:r w:rsidR="00397860">
        <w:rPr>
          <w:rFonts w:cstheme="minorHAnsi"/>
        </w:rPr>
        <w:t xml:space="preserve">safeguards that are created and established </w:t>
      </w:r>
      <w:r w:rsidR="009D4AA8">
        <w:rPr>
          <w:rFonts w:cstheme="minorHAnsi"/>
        </w:rPr>
        <w:t>that ensures ongoing operations</w:t>
      </w:r>
      <w:r w:rsidR="009D4F5F">
        <w:rPr>
          <w:rFonts w:cstheme="minorHAnsi"/>
        </w:rPr>
        <w:t>.</w:t>
      </w:r>
    </w:p>
    <w:p w14:paraId="5D3CBA80" w14:textId="2B252C32" w:rsidR="009D4F5F" w:rsidRPr="00B762EA" w:rsidRDefault="00850518" w:rsidP="009D4F5F">
      <w:pPr>
        <w:pStyle w:val="ListParagraph"/>
        <w:numPr>
          <w:ilvl w:val="0"/>
          <w:numId w:val="2"/>
        </w:numPr>
        <w:shd w:val="clear" w:color="auto" w:fill="FFFFFF"/>
        <w:spacing w:after="0" w:line="240" w:lineRule="auto"/>
        <w:rPr>
          <w:rFonts w:ascii="Lato" w:eastAsia="Times New Roman" w:hAnsi="Lato" w:cs="Times New Roman"/>
          <w:color w:val="333333"/>
          <w:sz w:val="21"/>
          <w:szCs w:val="21"/>
        </w:rPr>
      </w:pPr>
      <w:r>
        <w:rPr>
          <w:rFonts w:cstheme="minorHAnsi"/>
          <w:b/>
          <w:bCs/>
        </w:rPr>
        <w:t>Detect</w:t>
      </w:r>
      <w:r>
        <w:rPr>
          <w:rFonts w:cstheme="minorHAnsi"/>
        </w:rPr>
        <w:t xml:space="preserve"> </w:t>
      </w:r>
      <w:r w:rsidR="00B3665F">
        <w:rPr>
          <w:rFonts w:cstheme="minorHAnsi"/>
        </w:rPr>
        <w:t>–</w:t>
      </w:r>
      <w:r>
        <w:rPr>
          <w:rFonts w:cstheme="minorHAnsi"/>
        </w:rPr>
        <w:t xml:space="preserve"> </w:t>
      </w:r>
      <w:r w:rsidR="00B3665F">
        <w:rPr>
          <w:rFonts w:cstheme="minorHAnsi"/>
        </w:rPr>
        <w:t xml:space="preserve">The development and implementation of </w:t>
      </w:r>
      <w:r w:rsidR="00B762EA">
        <w:rPr>
          <w:rFonts w:cstheme="minorHAnsi"/>
        </w:rPr>
        <w:t>procedures used to identify cybersecurity incidents.</w:t>
      </w:r>
    </w:p>
    <w:p w14:paraId="1C2C7C0A" w14:textId="42556805" w:rsidR="00B762EA" w:rsidRPr="00521D87" w:rsidRDefault="00B137E1" w:rsidP="009D4F5F">
      <w:pPr>
        <w:pStyle w:val="ListParagraph"/>
        <w:numPr>
          <w:ilvl w:val="0"/>
          <w:numId w:val="2"/>
        </w:numPr>
        <w:shd w:val="clear" w:color="auto" w:fill="FFFFFF"/>
        <w:spacing w:after="0" w:line="240" w:lineRule="auto"/>
        <w:rPr>
          <w:rFonts w:ascii="Lato" w:eastAsia="Times New Roman" w:hAnsi="Lato" w:cs="Times New Roman"/>
          <w:color w:val="333333"/>
          <w:sz w:val="21"/>
          <w:szCs w:val="21"/>
        </w:rPr>
      </w:pPr>
      <w:r>
        <w:rPr>
          <w:rFonts w:cstheme="minorHAnsi"/>
          <w:b/>
          <w:bCs/>
        </w:rPr>
        <w:t xml:space="preserve">Respond </w:t>
      </w:r>
      <w:r w:rsidR="002B2323">
        <w:rPr>
          <w:rFonts w:cstheme="minorHAnsi"/>
        </w:rPr>
        <w:t>–</w:t>
      </w:r>
      <w:r>
        <w:rPr>
          <w:rFonts w:cstheme="minorHAnsi"/>
        </w:rPr>
        <w:t xml:space="preserve"> </w:t>
      </w:r>
      <w:r w:rsidR="002B2323">
        <w:rPr>
          <w:rFonts w:cstheme="minorHAnsi"/>
        </w:rPr>
        <w:t xml:space="preserve">Policy, </w:t>
      </w:r>
      <w:r w:rsidR="0079061A">
        <w:rPr>
          <w:rFonts w:cstheme="minorHAnsi"/>
        </w:rPr>
        <w:t>p</w:t>
      </w:r>
      <w:r w:rsidR="002B2323">
        <w:rPr>
          <w:rFonts w:cstheme="minorHAnsi"/>
        </w:rPr>
        <w:t xml:space="preserve">rocedures, and guidelines used to </w:t>
      </w:r>
      <w:r w:rsidR="002A70D3">
        <w:rPr>
          <w:rFonts w:cstheme="minorHAnsi"/>
        </w:rPr>
        <w:t xml:space="preserve">shape the response given to a detected </w:t>
      </w:r>
      <w:r w:rsidR="0079061A">
        <w:rPr>
          <w:rFonts w:cstheme="minorHAnsi"/>
        </w:rPr>
        <w:t>cyber security event.</w:t>
      </w:r>
    </w:p>
    <w:p w14:paraId="4D7A2C1F" w14:textId="7B7CAE51" w:rsidR="008B71AC" w:rsidRPr="00FA5674" w:rsidRDefault="00381104" w:rsidP="00FC7974">
      <w:pPr>
        <w:pStyle w:val="ListParagraph"/>
        <w:numPr>
          <w:ilvl w:val="0"/>
          <w:numId w:val="2"/>
        </w:numPr>
        <w:shd w:val="clear" w:color="auto" w:fill="FFFFFF"/>
        <w:spacing w:after="0" w:line="240" w:lineRule="auto"/>
        <w:rPr>
          <w:rFonts w:ascii="Lato" w:eastAsia="Times New Roman" w:hAnsi="Lato" w:cs="Times New Roman"/>
          <w:color w:val="333333"/>
          <w:sz w:val="21"/>
          <w:szCs w:val="21"/>
        </w:rPr>
      </w:pPr>
      <w:r>
        <w:rPr>
          <w:rFonts w:cstheme="minorHAnsi"/>
          <w:b/>
          <w:bCs/>
        </w:rPr>
        <w:t>Recover</w:t>
      </w:r>
      <w:r>
        <w:rPr>
          <w:rFonts w:cstheme="minorHAnsi"/>
        </w:rPr>
        <w:t xml:space="preserve"> </w:t>
      </w:r>
      <w:r w:rsidR="00CE0BFE">
        <w:rPr>
          <w:rFonts w:cstheme="minorHAnsi"/>
        </w:rPr>
        <w:t>–</w:t>
      </w:r>
      <w:r>
        <w:rPr>
          <w:rFonts w:cstheme="minorHAnsi"/>
        </w:rPr>
        <w:t xml:space="preserve"> </w:t>
      </w:r>
      <w:r w:rsidR="00CE0BFE">
        <w:rPr>
          <w:rFonts w:cstheme="minorHAnsi"/>
        </w:rPr>
        <w:t xml:space="preserve">The procedures </w:t>
      </w:r>
      <w:r w:rsidR="0040482C">
        <w:rPr>
          <w:rFonts w:cstheme="minorHAnsi"/>
        </w:rPr>
        <w:t xml:space="preserve">used to </w:t>
      </w:r>
      <w:r w:rsidR="00B40071">
        <w:rPr>
          <w:rFonts w:cstheme="minorHAnsi"/>
        </w:rPr>
        <w:t xml:space="preserve">ensure business resiliency </w:t>
      </w:r>
      <w:r w:rsidR="008E434E">
        <w:rPr>
          <w:rFonts w:cstheme="minorHAnsi"/>
        </w:rPr>
        <w:t xml:space="preserve">and the restoration of any services or </w:t>
      </w:r>
      <w:r w:rsidR="00456A39">
        <w:rPr>
          <w:rFonts w:cstheme="minorHAnsi"/>
        </w:rPr>
        <w:t>functions that were affected by a cybersecurity event.</w:t>
      </w:r>
    </w:p>
    <w:p w14:paraId="67F99FC4" w14:textId="77777777" w:rsidR="003B64D8" w:rsidRPr="00720E35" w:rsidRDefault="003B64D8" w:rsidP="00143243">
      <w:pPr>
        <w:pStyle w:val="Caption"/>
        <w:ind w:left="360"/>
        <w:jc w:val="center"/>
        <w:rPr>
          <w:rFonts w:ascii="Lato" w:eastAsia="Times New Roman" w:hAnsi="Lato" w:cs="Times New Roman"/>
          <w:color w:val="333333"/>
          <w:sz w:val="21"/>
          <w:szCs w:val="21"/>
        </w:rPr>
      </w:pPr>
      <w:r>
        <w:br/>
        <w:t xml:space="preserve">Image </w:t>
      </w:r>
      <w:r w:rsidR="00000000">
        <w:fldChar w:fldCharType="begin"/>
      </w:r>
      <w:r w:rsidR="00000000">
        <w:instrText xml:space="preserve"> SEQ Image \* ARABIC </w:instrText>
      </w:r>
      <w:r w:rsidR="00000000">
        <w:fldChar w:fldCharType="separate"/>
      </w:r>
      <w:r>
        <w:rPr>
          <w:noProof/>
        </w:rPr>
        <w:t>1</w:t>
      </w:r>
      <w:r w:rsidR="00000000">
        <w:rPr>
          <w:noProof/>
        </w:rPr>
        <w:fldChar w:fldCharType="end"/>
      </w:r>
      <w:r>
        <w:t xml:space="preserve"> - NIST Process</w:t>
      </w:r>
    </w:p>
    <w:p w14:paraId="484DC091" w14:textId="77C2F00E" w:rsidR="00FA5674" w:rsidRDefault="00963895" w:rsidP="00FA5674">
      <w:pPr>
        <w:pStyle w:val="ListParagraph"/>
        <w:keepNext/>
        <w:shd w:val="clear" w:color="auto" w:fill="FFFFFF"/>
        <w:spacing w:after="0" w:line="240" w:lineRule="auto"/>
        <w:jc w:val="center"/>
      </w:pPr>
      <w:r>
        <w:rPr>
          <w:noProof/>
        </w:rPr>
        <w:drawing>
          <wp:inline distT="0" distB="0" distL="0" distR="0" wp14:anchorId="4A320ACC" wp14:editId="426278CF">
            <wp:extent cx="3723464" cy="2296490"/>
            <wp:effectExtent l="0" t="0" r="0" b="8890"/>
            <wp:docPr id="1" name="Picture 1" descr="cybersecurity framework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security framework graphic"/>
                    <pic:cNvPicPr>
                      <a:picLocks noChangeAspect="1" noChangeArrowheads="1"/>
                    </pic:cNvPicPr>
                  </pic:nvPicPr>
                  <pic:blipFill rotWithShape="1">
                    <a:blip r:embed="rId6">
                      <a:extLst>
                        <a:ext uri="{28A0092B-C50C-407E-A947-70E740481C1C}">
                          <a14:useLocalDpi xmlns:a14="http://schemas.microsoft.com/office/drawing/2010/main" val="0"/>
                        </a:ext>
                      </a:extLst>
                    </a:blip>
                    <a:srcRect l="3713" t="2788" r="3816" b="2912"/>
                    <a:stretch/>
                  </pic:blipFill>
                  <pic:spPr bwMode="auto">
                    <a:xfrm>
                      <a:off x="0" y="0"/>
                      <a:ext cx="3730085" cy="2300574"/>
                    </a:xfrm>
                    <a:prstGeom prst="rect">
                      <a:avLst/>
                    </a:prstGeom>
                    <a:noFill/>
                    <a:ln>
                      <a:noFill/>
                    </a:ln>
                    <a:extLst>
                      <a:ext uri="{53640926-AAD7-44D8-BBD7-CCE9431645EC}">
                        <a14:shadowObscured xmlns:a14="http://schemas.microsoft.com/office/drawing/2010/main"/>
                      </a:ext>
                    </a:extLst>
                  </pic:spPr>
                </pic:pic>
              </a:graphicData>
            </a:graphic>
          </wp:inline>
        </w:drawing>
      </w:r>
      <w:r w:rsidR="008A0C62">
        <w:br/>
      </w:r>
    </w:p>
    <w:p w14:paraId="17240466" w14:textId="77777777" w:rsidR="009F6877" w:rsidRDefault="00000000" w:rsidP="0070172B">
      <w:pPr>
        <w:pStyle w:val="Caption"/>
        <w:rPr>
          <w:rStyle w:val="IntenseEmphasis"/>
        </w:rPr>
        <w:sectPr w:rsidR="009F6877" w:rsidSect="009F6877">
          <w:pgSz w:w="12240" w:h="15840"/>
          <w:pgMar w:top="1440" w:right="1440" w:bottom="1350" w:left="1440" w:header="720" w:footer="720" w:gutter="0"/>
          <w:cols w:space="720"/>
        </w:sectPr>
      </w:pPr>
      <w:sdt>
        <w:sdtPr>
          <w:rPr>
            <w:rStyle w:val="IntenseEmphasis"/>
          </w:rPr>
          <w:id w:val="-122628270"/>
          <w:citation/>
        </w:sdtPr>
        <w:sdtContent>
          <w:r w:rsidR="007436D1" w:rsidRPr="007436D1">
            <w:rPr>
              <w:rStyle w:val="IntenseEmphasis"/>
            </w:rPr>
            <w:fldChar w:fldCharType="begin"/>
          </w:r>
          <w:r w:rsidR="007436D1" w:rsidRPr="007436D1">
            <w:rPr>
              <w:rStyle w:val="IntenseEmphasis"/>
            </w:rPr>
            <w:instrText xml:space="preserve"> CITATION MEP18 \l 1033 </w:instrText>
          </w:r>
          <w:r w:rsidR="007436D1" w:rsidRPr="007436D1">
            <w:rPr>
              <w:rStyle w:val="IntenseEmphasis"/>
            </w:rPr>
            <w:fldChar w:fldCharType="separate"/>
          </w:r>
          <w:r w:rsidR="007436D1" w:rsidRPr="007436D1">
            <w:rPr>
              <w:rStyle w:val="IntenseEmphasis"/>
            </w:rPr>
            <w:t>(MEP Centers Aid Manufacturers on Cybersecurity, 2018)</w:t>
          </w:r>
          <w:r w:rsidR="007436D1" w:rsidRPr="007436D1">
            <w:rPr>
              <w:rStyle w:val="IntenseEmphasis"/>
            </w:rPr>
            <w:fldChar w:fldCharType="end"/>
          </w:r>
        </w:sdtContent>
      </w:sdt>
    </w:p>
    <w:p w14:paraId="48E0F360" w14:textId="13CE49F6" w:rsidR="001E140C" w:rsidRDefault="00AD7052" w:rsidP="001E140C">
      <w:pPr>
        <w:pStyle w:val="Heading2"/>
        <w:rPr>
          <w:rFonts w:eastAsia="Times New Roman"/>
          <w:b/>
          <w:bCs/>
        </w:rPr>
      </w:pPr>
      <w:r>
        <w:rPr>
          <w:rFonts w:eastAsia="Times New Roman"/>
          <w:b/>
          <w:bCs/>
        </w:rPr>
        <w:lastRenderedPageBreak/>
        <w:t xml:space="preserve">Mitigation of </w:t>
      </w:r>
      <w:r w:rsidR="008C1FD0">
        <w:rPr>
          <w:rFonts w:eastAsia="Times New Roman"/>
          <w:b/>
          <w:bCs/>
        </w:rPr>
        <w:t>k</w:t>
      </w:r>
      <w:r w:rsidR="001E140C" w:rsidRPr="00426D35">
        <w:rPr>
          <w:rFonts w:eastAsia="Times New Roman"/>
          <w:b/>
          <w:bCs/>
        </w:rPr>
        <w:t>ey area</w:t>
      </w:r>
      <w:r w:rsidR="00426D35" w:rsidRPr="00426D35">
        <w:rPr>
          <w:rFonts w:eastAsia="Times New Roman"/>
          <w:b/>
          <w:bCs/>
        </w:rPr>
        <w:t>s</w:t>
      </w:r>
      <w:r w:rsidR="001E140C" w:rsidRPr="00426D35">
        <w:rPr>
          <w:rFonts w:eastAsia="Times New Roman"/>
          <w:b/>
          <w:bCs/>
        </w:rPr>
        <w:t xml:space="preserve"> of concern</w:t>
      </w:r>
    </w:p>
    <w:p w14:paraId="4115808B" w14:textId="1F7581EB" w:rsidR="000C6B3F" w:rsidRPr="000C6B3F" w:rsidRDefault="000C6B3F" w:rsidP="000C6B3F">
      <w:pPr>
        <w:pStyle w:val="Heading3"/>
        <w:rPr>
          <w:b/>
          <w:bCs/>
          <w:u w:val="single"/>
        </w:rPr>
      </w:pPr>
      <w:r>
        <w:rPr>
          <w:b/>
          <w:bCs/>
          <w:u w:val="single"/>
        </w:rPr>
        <w:t xml:space="preserve">Lack of </w:t>
      </w:r>
      <w:r w:rsidR="00457635">
        <w:rPr>
          <w:b/>
          <w:bCs/>
          <w:u w:val="single"/>
        </w:rPr>
        <w:t xml:space="preserve">a </w:t>
      </w:r>
      <w:r>
        <w:rPr>
          <w:b/>
          <w:bCs/>
          <w:u w:val="single"/>
        </w:rPr>
        <w:t xml:space="preserve">Cybersecurity </w:t>
      </w:r>
      <w:r w:rsidR="00597BA2">
        <w:rPr>
          <w:b/>
          <w:bCs/>
          <w:u w:val="single"/>
        </w:rPr>
        <w:t>framework</w:t>
      </w:r>
    </w:p>
    <w:p w14:paraId="6C052F23" w14:textId="2BAF1944" w:rsidR="00924A2E" w:rsidRDefault="006A6224" w:rsidP="00924A2E">
      <w:r>
        <w:t xml:space="preserve">At the heart of the deficiencies found is Psinuvia, Inc failure to develop, implement and maintain a cybersecurity initiative based on </w:t>
      </w:r>
      <w:r w:rsidR="00D93CB4" w:rsidRPr="00D93CB4">
        <w:t>industry standards for securing organizational assets regarding policies for acceptable use, mobile devices, passwords, and personally identifiable information (PII)</w:t>
      </w:r>
      <w:r>
        <w:t>.</w:t>
      </w:r>
      <w:r w:rsidR="008C0BC2">
        <w:t xml:space="preserve"> </w:t>
      </w:r>
      <w:r w:rsidR="00597BA2">
        <w:t xml:space="preserve">One such framework is </w:t>
      </w:r>
      <w:r w:rsidR="005F2286">
        <w:t>the NIST Cybersecurity fram</w:t>
      </w:r>
      <w:r w:rsidR="00EE7E8A">
        <w:t>e</w:t>
      </w:r>
      <w:r w:rsidR="005F2286">
        <w:t>work</w:t>
      </w:r>
      <w:r w:rsidR="00A26DD3">
        <w:t xml:space="preserve">.  </w:t>
      </w:r>
      <w:r w:rsidR="00156499">
        <w:t xml:space="preserve">This </w:t>
      </w:r>
      <w:r w:rsidR="00457635">
        <w:t xml:space="preserve">well-known </w:t>
      </w:r>
      <w:r w:rsidR="00156499">
        <w:t xml:space="preserve">framework is a combination of </w:t>
      </w:r>
      <w:r w:rsidR="00D42497">
        <w:t xml:space="preserve">standards, </w:t>
      </w:r>
      <w:r w:rsidR="006A3BDC">
        <w:t>guidelines,</w:t>
      </w:r>
      <w:r w:rsidR="00D42497">
        <w:t xml:space="preserve"> and best practices</w:t>
      </w:r>
      <w:r w:rsidR="00924A2E">
        <w:t xml:space="preserve"> that </w:t>
      </w:r>
      <w:r w:rsidR="008417D1">
        <w:t>“</w:t>
      </w:r>
      <w:r w:rsidR="00924A2E">
        <w:t>provides a common taxonomy and mechanism for organizations to:</w:t>
      </w:r>
    </w:p>
    <w:p w14:paraId="1DEE44BB" w14:textId="71428598" w:rsidR="00924A2E" w:rsidRDefault="00924A2E" w:rsidP="00A22712">
      <w:pPr>
        <w:pStyle w:val="ListParagraph"/>
        <w:numPr>
          <w:ilvl w:val="0"/>
          <w:numId w:val="6"/>
        </w:numPr>
      </w:pPr>
      <w:r>
        <w:t xml:space="preserve">Describe their current cybersecurity </w:t>
      </w:r>
      <w:r w:rsidR="004F1C31">
        <w:t>posture.</w:t>
      </w:r>
    </w:p>
    <w:p w14:paraId="58CF8CE1" w14:textId="092ECEB6" w:rsidR="00924A2E" w:rsidRDefault="00924A2E" w:rsidP="00A22712">
      <w:pPr>
        <w:pStyle w:val="ListParagraph"/>
        <w:numPr>
          <w:ilvl w:val="0"/>
          <w:numId w:val="6"/>
        </w:numPr>
      </w:pPr>
      <w:r>
        <w:t xml:space="preserve">Describe their target state for </w:t>
      </w:r>
      <w:r w:rsidR="004F1C31">
        <w:t>cybersecurity.</w:t>
      </w:r>
    </w:p>
    <w:p w14:paraId="4E54B365" w14:textId="57E94C8E" w:rsidR="00924A2E" w:rsidRDefault="00924A2E" w:rsidP="00C56947">
      <w:pPr>
        <w:pStyle w:val="ListParagraph"/>
        <w:numPr>
          <w:ilvl w:val="0"/>
          <w:numId w:val="6"/>
        </w:numPr>
      </w:pPr>
      <w:r>
        <w:t>Identify and prioritize opportunities for improvement within the context of a</w:t>
      </w:r>
      <w:r w:rsidR="00C56947">
        <w:t xml:space="preserve"> </w:t>
      </w:r>
      <w:r>
        <w:t xml:space="preserve">continuous and repeatable </w:t>
      </w:r>
      <w:r w:rsidR="001977ED">
        <w:t>process.</w:t>
      </w:r>
    </w:p>
    <w:p w14:paraId="2272FBD1" w14:textId="2D00EC70" w:rsidR="00924A2E" w:rsidRDefault="00924A2E" w:rsidP="00A22712">
      <w:pPr>
        <w:pStyle w:val="ListParagraph"/>
        <w:numPr>
          <w:ilvl w:val="0"/>
          <w:numId w:val="6"/>
        </w:numPr>
      </w:pPr>
      <w:r>
        <w:t xml:space="preserve">Assess progress toward the target </w:t>
      </w:r>
      <w:r w:rsidR="004F1C31">
        <w:t>state.</w:t>
      </w:r>
    </w:p>
    <w:p w14:paraId="4ED1A569" w14:textId="14A31F1B" w:rsidR="00C56947" w:rsidRDefault="00924A2E" w:rsidP="00A22712">
      <w:pPr>
        <w:pStyle w:val="ListParagraph"/>
        <w:numPr>
          <w:ilvl w:val="0"/>
          <w:numId w:val="6"/>
        </w:numPr>
      </w:pPr>
      <w:r>
        <w:t>Communicate among internal and external stakeholders about cybersecurity risk.</w:t>
      </w:r>
      <w:r w:rsidR="008417D1">
        <w:t>”</w:t>
      </w:r>
    </w:p>
    <w:p w14:paraId="771B6358" w14:textId="3D398FA4" w:rsidR="00C56947" w:rsidRDefault="00000000" w:rsidP="0050179A">
      <w:sdt>
        <w:sdtPr>
          <w:id w:val="47424971"/>
          <w:citation/>
        </w:sdtPr>
        <w:sdtContent>
          <w:r w:rsidR="0050179A">
            <w:fldChar w:fldCharType="begin"/>
          </w:r>
          <w:r w:rsidR="0050179A">
            <w:instrText xml:space="preserve"> CITATION Nat18 \l 1033 </w:instrText>
          </w:r>
          <w:r w:rsidR="0050179A">
            <w:fldChar w:fldCharType="separate"/>
          </w:r>
          <w:r w:rsidR="0050179A">
            <w:rPr>
              <w:noProof/>
            </w:rPr>
            <w:t>(National Institute of Standards and Technology, 2018)</w:t>
          </w:r>
          <w:r w:rsidR="0050179A">
            <w:fldChar w:fldCharType="end"/>
          </w:r>
        </w:sdtContent>
      </w:sdt>
    </w:p>
    <w:p w14:paraId="08E7608F" w14:textId="3CB83475" w:rsidR="001E140C" w:rsidRDefault="00C77AA5" w:rsidP="00235B64">
      <w:r>
        <w:t>The following</w:t>
      </w:r>
      <w:r w:rsidR="002F451F">
        <w:t xml:space="preserve"> are a few of the</w:t>
      </w:r>
      <w:r>
        <w:t xml:space="preserve"> </w:t>
      </w:r>
      <w:r w:rsidR="00694502">
        <w:t>policies that</w:t>
      </w:r>
      <w:r w:rsidR="0020047D">
        <w:t xml:space="preserve"> </w:t>
      </w:r>
      <w:r w:rsidR="00AA11F8">
        <w:t xml:space="preserve">should be developed with the </w:t>
      </w:r>
      <w:r w:rsidR="003D2F34">
        <w:t xml:space="preserve">standards, </w:t>
      </w:r>
      <w:r w:rsidR="006B59BB">
        <w:t>guidelines and best practices found in the NIST Cybersecurity Framework</w:t>
      </w:r>
      <w:r w:rsidR="00AA11F8">
        <w:t xml:space="preserve"> </w:t>
      </w:r>
      <w:r w:rsidR="00A404CF">
        <w:t>as a roadmap</w:t>
      </w:r>
      <w:r>
        <w:t>:</w:t>
      </w:r>
    </w:p>
    <w:p w14:paraId="6B81B4EF" w14:textId="162D714F" w:rsidR="00B45474" w:rsidRPr="00B45474" w:rsidRDefault="00C77AA5" w:rsidP="00930D6A">
      <w:pPr>
        <w:pStyle w:val="Heading4"/>
        <w:ind w:left="360"/>
      </w:pPr>
      <w:r w:rsidRPr="00C77AA5">
        <w:t>Acceptable Use Policy</w:t>
      </w:r>
    </w:p>
    <w:p w14:paraId="44323E81" w14:textId="3B05D716" w:rsidR="002446D4" w:rsidRDefault="009E1A7E" w:rsidP="00930D6A">
      <w:pPr>
        <w:ind w:left="360"/>
      </w:pPr>
      <w:r>
        <w:t xml:space="preserve">Establishment and enforcement of </w:t>
      </w:r>
      <w:r w:rsidR="009A7254">
        <w:t xml:space="preserve">an Acceptable Use Policy (AUP) </w:t>
      </w:r>
      <w:r w:rsidR="00D95D3E">
        <w:t xml:space="preserve">will provide employees guidance on what devices and software are allowed </w:t>
      </w:r>
      <w:r w:rsidR="00034482">
        <w:t xml:space="preserve">on the organizations network and issued devices. </w:t>
      </w:r>
      <w:r w:rsidR="00EE06F3">
        <w:t xml:space="preserve">This policy </w:t>
      </w:r>
      <w:r w:rsidR="00421F06">
        <w:t>establishes a “duty of care”</w:t>
      </w:r>
      <w:r w:rsidR="005C2B13">
        <w:t xml:space="preserve"> with the user of the company device</w:t>
      </w:r>
      <w:r w:rsidR="001A7269">
        <w:t xml:space="preserve"> and reduce misuse of said </w:t>
      </w:r>
      <w:r w:rsidR="00536505">
        <w:t>asset.</w:t>
      </w:r>
      <w:r w:rsidR="00DA7D02">
        <w:t xml:space="preserve"> </w:t>
      </w:r>
      <w:r w:rsidR="00902C44">
        <w:t xml:space="preserve">Even </w:t>
      </w:r>
      <w:r w:rsidR="004A1CD9">
        <w:t xml:space="preserve">15 years ago VA Department of education </w:t>
      </w:r>
      <w:r w:rsidR="00E14966">
        <w:t xml:space="preserve">states that AUP’s </w:t>
      </w:r>
      <w:r w:rsidR="00DA5818">
        <w:t>“</w:t>
      </w:r>
      <w:r w:rsidR="00444BF0">
        <w:t>f</w:t>
      </w:r>
      <w:r w:rsidR="00444BF0" w:rsidRPr="00444BF0">
        <w:t>ocuses on responsible use of computer networks, including the Internet, and access and transmitting of information</w:t>
      </w:r>
      <w:r w:rsidR="00DA5818">
        <w:t>”</w:t>
      </w:r>
      <w:sdt>
        <w:sdtPr>
          <w:id w:val="-1294139727"/>
          <w:citation/>
        </w:sdtPr>
        <w:sdtContent>
          <w:r w:rsidR="00B06BA3">
            <w:fldChar w:fldCharType="begin"/>
          </w:r>
          <w:r w:rsidR="00B06BA3">
            <w:instrText xml:space="preserve"> CITATION Acc07 \l 1033 </w:instrText>
          </w:r>
          <w:r w:rsidR="00B06BA3">
            <w:fldChar w:fldCharType="separate"/>
          </w:r>
          <w:r w:rsidR="00B06BA3">
            <w:rPr>
              <w:noProof/>
            </w:rPr>
            <w:t xml:space="preserve"> (Acceptable Use Policies: A Handbook, 2007)</w:t>
          </w:r>
          <w:r w:rsidR="00B06BA3">
            <w:fldChar w:fldCharType="end"/>
          </w:r>
        </w:sdtContent>
      </w:sdt>
      <w:r w:rsidR="00DA5818">
        <w:t xml:space="preserve"> </w:t>
      </w:r>
      <w:r w:rsidR="00F61A21">
        <w:t xml:space="preserve">by employees, </w:t>
      </w:r>
      <w:r w:rsidR="00B06BA3">
        <w:t>to/from the company.</w:t>
      </w:r>
      <w:r w:rsidR="00536505">
        <w:t xml:space="preserve"> </w:t>
      </w:r>
    </w:p>
    <w:p w14:paraId="0F579C8B" w14:textId="0F8A3008" w:rsidR="00C77AA5" w:rsidRDefault="002446D4" w:rsidP="00930D6A">
      <w:pPr>
        <w:pStyle w:val="Heading4"/>
        <w:ind w:left="360"/>
      </w:pPr>
      <w:r w:rsidRPr="002446D4">
        <w:t>Bring Your Own Device (BYOD) Policy</w:t>
      </w:r>
      <w:r w:rsidR="00060239" w:rsidRPr="002446D4">
        <w:t xml:space="preserve"> </w:t>
      </w:r>
      <w:r w:rsidR="007A4283" w:rsidRPr="002446D4">
        <w:t xml:space="preserve"> </w:t>
      </w:r>
      <w:r w:rsidR="00555590" w:rsidRPr="002446D4">
        <w:t xml:space="preserve"> </w:t>
      </w:r>
    </w:p>
    <w:p w14:paraId="072222F4" w14:textId="745263B8" w:rsidR="002446D4" w:rsidRDefault="001E2B76" w:rsidP="00930D6A">
      <w:pPr>
        <w:ind w:left="360"/>
      </w:pPr>
      <w:r>
        <w:t>With the workforce becoming more mobi</w:t>
      </w:r>
      <w:r w:rsidR="001C0E1C">
        <w:t>le, Laptops, Cell Phones, Tablets and IOT are major area</w:t>
      </w:r>
      <w:r w:rsidR="00691409">
        <w:t>s</w:t>
      </w:r>
      <w:r w:rsidR="001C0E1C">
        <w:t xml:space="preserve"> of </w:t>
      </w:r>
      <w:r w:rsidR="006A103D">
        <w:t xml:space="preserve">concern. Psinuvia, Inc. in addition to </w:t>
      </w:r>
      <w:r w:rsidR="002F4685">
        <w:t xml:space="preserve">securing physical access to its network also needs to address the </w:t>
      </w:r>
      <w:r w:rsidR="002F5B01">
        <w:t>mobile devices.</w:t>
      </w:r>
      <w:r w:rsidR="000A02AD">
        <w:t xml:space="preserve"> </w:t>
      </w:r>
      <w:r w:rsidR="000234A3">
        <w:t>A</w:t>
      </w:r>
      <w:r w:rsidR="00D561C6">
        <w:t>n</w:t>
      </w:r>
      <w:r w:rsidR="000234A3">
        <w:t xml:space="preserve"> </w:t>
      </w:r>
      <w:r w:rsidR="00C24596">
        <w:t>“</w:t>
      </w:r>
      <w:r w:rsidR="005835EC" w:rsidRPr="005835EC">
        <w:t>Effective U</w:t>
      </w:r>
      <w:r w:rsidR="000234A3">
        <w:t xml:space="preserve">nified </w:t>
      </w:r>
      <w:r w:rsidR="005835EC" w:rsidRPr="005835EC">
        <w:t>E</w:t>
      </w:r>
      <w:r w:rsidR="000234A3">
        <w:t xml:space="preserve">ndpoint </w:t>
      </w:r>
      <w:r w:rsidR="005835EC" w:rsidRPr="005835EC">
        <w:t>M</w:t>
      </w:r>
      <w:r w:rsidR="000234A3">
        <w:t>anagement</w:t>
      </w:r>
      <w:r w:rsidR="005133B1">
        <w:t xml:space="preserve"> </w:t>
      </w:r>
      <w:r w:rsidR="00C24596">
        <w:t>(</w:t>
      </w:r>
      <w:r w:rsidR="005133B1">
        <w:t>UEM)</w:t>
      </w:r>
      <w:r w:rsidR="005835EC" w:rsidRPr="005835EC">
        <w:t xml:space="preserve"> maintains user experience for employees regardless of device ownership, while enforcing BYOD policy</w:t>
      </w:r>
      <w:r w:rsidR="005133B1">
        <w:t xml:space="preserve">” </w:t>
      </w:r>
      <w:sdt>
        <w:sdtPr>
          <w:id w:val="-998414652"/>
          <w:citation/>
        </w:sdtPr>
        <w:sdtContent>
          <w:r w:rsidR="005133B1">
            <w:fldChar w:fldCharType="begin"/>
          </w:r>
          <w:r w:rsidR="004E264E">
            <w:instrText xml:space="preserve">CITATION Eri \l 1033 </w:instrText>
          </w:r>
          <w:r w:rsidR="005133B1">
            <w:fldChar w:fldCharType="separate"/>
          </w:r>
          <w:r w:rsidR="004E264E">
            <w:rPr>
              <w:noProof/>
            </w:rPr>
            <w:t>(Chickowski, 2020)</w:t>
          </w:r>
          <w:r w:rsidR="005133B1">
            <w:fldChar w:fldCharType="end"/>
          </w:r>
        </w:sdtContent>
      </w:sdt>
      <w:r w:rsidR="00717FAD">
        <w:t>.</w:t>
      </w:r>
      <w:r w:rsidR="00317A98">
        <w:t xml:space="preserve"> </w:t>
      </w:r>
      <w:r w:rsidR="00C32B39">
        <w:t>Implementation of a UEM</w:t>
      </w:r>
      <w:r w:rsidR="00142708">
        <w:t>, such as Microsoft Intune,</w:t>
      </w:r>
      <w:r w:rsidR="00C32B39">
        <w:t xml:space="preserve"> will allow Psinuvia</w:t>
      </w:r>
      <w:r w:rsidR="00D3533D">
        <w:t>, Inc.</w:t>
      </w:r>
      <w:r w:rsidR="00C32B39">
        <w:t xml:space="preserve"> to maintain control over its data and devices as well as </w:t>
      </w:r>
      <w:r w:rsidR="00BE69CE">
        <w:t>how</w:t>
      </w:r>
      <w:r w:rsidR="00D3533D">
        <w:t xml:space="preserve"> the</w:t>
      </w:r>
      <w:r w:rsidR="00BE69CE">
        <w:t xml:space="preserve"> data is used and stored on the devices.</w:t>
      </w:r>
    </w:p>
    <w:p w14:paraId="58B64EBE" w14:textId="4AEF45A7" w:rsidR="00D538C1" w:rsidRPr="00553A50" w:rsidRDefault="0069660E" w:rsidP="00930D6A">
      <w:pPr>
        <w:pStyle w:val="Heading4"/>
        <w:ind w:left="360"/>
      </w:pPr>
      <w:r w:rsidRPr="00553A50">
        <w:t>Data Classification</w:t>
      </w:r>
      <w:r w:rsidR="00684DC8">
        <w:t xml:space="preserve"> Policy</w:t>
      </w:r>
    </w:p>
    <w:p w14:paraId="56CEDBCB" w14:textId="34E235C7" w:rsidR="0069660E" w:rsidRPr="0069660E" w:rsidRDefault="00BC59AA" w:rsidP="00930D6A">
      <w:pPr>
        <w:ind w:left="360"/>
      </w:pPr>
      <w:r>
        <w:t xml:space="preserve">Due to the sensitivity of </w:t>
      </w:r>
      <w:r w:rsidR="007B3C1C">
        <w:t>the data transmitted and stored within and out of Psinuvia, Inc.</w:t>
      </w:r>
      <w:r w:rsidR="00303088">
        <w:t>,</w:t>
      </w:r>
      <w:r w:rsidR="007B3C1C">
        <w:t xml:space="preserve"> having a </w:t>
      </w:r>
      <w:r w:rsidR="00925F51">
        <w:t xml:space="preserve">policy outlining </w:t>
      </w:r>
      <w:r w:rsidR="00A0313B">
        <w:t xml:space="preserve">when, where, and how </w:t>
      </w:r>
      <w:r w:rsidR="00B01A23">
        <w:t>d</w:t>
      </w:r>
      <w:r w:rsidR="00925F51">
        <w:t xml:space="preserve">ata </w:t>
      </w:r>
      <w:r w:rsidR="00B01A23">
        <w:t>c</w:t>
      </w:r>
      <w:r w:rsidR="00925F51">
        <w:t>lassification</w:t>
      </w:r>
      <w:r w:rsidR="00A0313B">
        <w:t xml:space="preserve"> is handled within the organization</w:t>
      </w:r>
      <w:r w:rsidR="00C93CBB">
        <w:t xml:space="preserve"> is paramount</w:t>
      </w:r>
      <w:r w:rsidR="00A0313B">
        <w:t>.</w:t>
      </w:r>
      <w:r w:rsidR="000C4EB3">
        <w:t xml:space="preserve"> Data</w:t>
      </w:r>
      <w:r w:rsidR="00B01A23">
        <w:t xml:space="preserve"> Classification Policy d</w:t>
      </w:r>
      <w:r w:rsidR="00252DBC">
        <w:t xml:space="preserve">efines </w:t>
      </w:r>
      <w:r w:rsidR="004D4164">
        <w:t xml:space="preserve">the </w:t>
      </w:r>
      <w:r w:rsidR="00025D8D">
        <w:t xml:space="preserve">potential risks to the data </w:t>
      </w:r>
      <w:r w:rsidR="00A31207">
        <w:t xml:space="preserve">that is created, transmitted, and stored </w:t>
      </w:r>
      <w:r w:rsidR="00747785">
        <w:t xml:space="preserve">by the organization and </w:t>
      </w:r>
      <w:r w:rsidR="001F4C78">
        <w:t xml:space="preserve">places a </w:t>
      </w:r>
      <w:r w:rsidR="007C3639">
        <w:t xml:space="preserve">specific </w:t>
      </w:r>
      <w:r w:rsidR="001F4C78">
        <w:t xml:space="preserve">classification on each </w:t>
      </w:r>
      <w:r w:rsidR="004A5F56">
        <w:t xml:space="preserve">data </w:t>
      </w:r>
      <w:r w:rsidR="001F4C78">
        <w:t xml:space="preserve">item based on </w:t>
      </w:r>
      <w:r w:rsidR="005861F9">
        <w:t>its value</w:t>
      </w:r>
      <w:r w:rsidR="004A5F56">
        <w:t>, level of sensitivity</w:t>
      </w:r>
      <w:r w:rsidR="00DE1936">
        <w:t>,</w:t>
      </w:r>
      <w:r w:rsidR="004A5F56">
        <w:t xml:space="preserve"> and importance </w:t>
      </w:r>
      <w:r w:rsidR="00055D90">
        <w:t>to the organization.</w:t>
      </w:r>
      <w:r w:rsidR="003322A5">
        <w:t xml:space="preserve"> The policy will also define the </w:t>
      </w:r>
      <w:r w:rsidR="00553A50">
        <w:t xml:space="preserve">security levels and the restrictions placed on </w:t>
      </w:r>
      <w:r w:rsidR="009A5264">
        <w:t xml:space="preserve">the data at </w:t>
      </w:r>
      <w:r w:rsidR="00553A50">
        <w:t>each</w:t>
      </w:r>
      <w:r w:rsidR="00B22C2A">
        <w:t xml:space="preserve"> classification security level</w:t>
      </w:r>
      <w:r w:rsidR="00553A50">
        <w:t xml:space="preserve">. </w:t>
      </w:r>
      <w:r w:rsidR="00485D19">
        <w:t xml:space="preserve">Implementation of this policy will ensure </w:t>
      </w:r>
      <w:r w:rsidR="005E1E27">
        <w:t>adherence</w:t>
      </w:r>
      <w:r w:rsidR="00485D19">
        <w:t xml:space="preserve"> to </w:t>
      </w:r>
      <w:r w:rsidR="005E1E27">
        <w:t xml:space="preserve">standards and regulatory requirements </w:t>
      </w:r>
      <w:r w:rsidR="00AD755F">
        <w:t xml:space="preserve">on securing </w:t>
      </w:r>
      <w:r w:rsidR="000F213C">
        <w:t>personal identifying information (PII)</w:t>
      </w:r>
      <w:r w:rsidR="00B22C2A">
        <w:t xml:space="preserve"> and reduce the liability </w:t>
      </w:r>
      <w:r w:rsidR="00053AC2">
        <w:t>surface of the organization.</w:t>
      </w:r>
    </w:p>
    <w:p w14:paraId="7890C413" w14:textId="474C6360" w:rsidR="002446D4" w:rsidRPr="00DF7D05" w:rsidRDefault="0053504D" w:rsidP="000C6B3F">
      <w:pPr>
        <w:pStyle w:val="Heading3"/>
        <w:rPr>
          <w:b/>
          <w:bCs/>
          <w:u w:val="single"/>
        </w:rPr>
      </w:pPr>
      <w:r w:rsidRPr="00DF7D05">
        <w:rPr>
          <w:b/>
          <w:bCs/>
          <w:u w:val="single"/>
        </w:rPr>
        <w:lastRenderedPageBreak/>
        <w:t xml:space="preserve">Identity </w:t>
      </w:r>
      <w:r w:rsidR="00684DC8" w:rsidRPr="00DF7D05">
        <w:rPr>
          <w:b/>
          <w:bCs/>
          <w:u w:val="single"/>
        </w:rPr>
        <w:t>and Access Management</w:t>
      </w:r>
      <w:r w:rsidR="00741AA1" w:rsidRPr="00DF7D05">
        <w:rPr>
          <w:b/>
          <w:bCs/>
          <w:u w:val="single"/>
        </w:rPr>
        <w:t xml:space="preserve"> (IAM)</w:t>
      </w:r>
    </w:p>
    <w:p w14:paraId="0D839ED1" w14:textId="11FE09CF" w:rsidR="00684DC8" w:rsidRDefault="00113988" w:rsidP="00684DC8">
      <w:r>
        <w:t xml:space="preserve">This framework is a collection of policies and </w:t>
      </w:r>
      <w:r w:rsidR="00B5306B">
        <w:t xml:space="preserve">tools </w:t>
      </w:r>
      <w:r w:rsidR="00CC017A">
        <w:t>used to</w:t>
      </w:r>
      <w:r w:rsidR="0082222C">
        <w:t xml:space="preserve"> </w:t>
      </w:r>
      <w:r w:rsidR="005444E8">
        <w:t xml:space="preserve">manage and control access to organizational resources. </w:t>
      </w:r>
      <w:r w:rsidR="00C342B0">
        <w:t>It achieves this</w:t>
      </w:r>
      <w:r w:rsidR="006A46A7">
        <w:t xml:space="preserve"> with the use and monitoring of</w:t>
      </w:r>
      <w:r w:rsidR="00C342B0">
        <w:t xml:space="preserve"> </w:t>
      </w:r>
      <w:r w:rsidR="00CE32CE">
        <w:t xml:space="preserve">object </w:t>
      </w:r>
      <w:r w:rsidR="006A145A">
        <w:t xml:space="preserve">permissions, </w:t>
      </w:r>
      <w:r w:rsidR="002418D3">
        <w:t>credentials (passwords</w:t>
      </w:r>
      <w:r w:rsidR="0039673B">
        <w:t>, certificates, user accounts, etc</w:t>
      </w:r>
      <w:r w:rsidR="003762D9">
        <w:t>.</w:t>
      </w:r>
      <w:r w:rsidR="0039673B">
        <w:t>)</w:t>
      </w:r>
      <w:r w:rsidR="006A145A">
        <w:t xml:space="preserve"> and </w:t>
      </w:r>
      <w:r w:rsidR="003762D9">
        <w:t xml:space="preserve">periodic reviews of those credentials and </w:t>
      </w:r>
      <w:r w:rsidR="006A145A">
        <w:t>permissions to ensure that the necessary changes are made to ensure the security of the object.</w:t>
      </w:r>
      <w:r w:rsidR="00761B4D">
        <w:t xml:space="preserve"> Implementation and enforcement of the policies </w:t>
      </w:r>
      <w:r w:rsidR="003835BA">
        <w:t>derived from</w:t>
      </w:r>
      <w:r w:rsidR="003A51F0">
        <w:t xml:space="preserve"> IAM</w:t>
      </w:r>
      <w:r w:rsidR="00541DDA">
        <w:t xml:space="preserve"> Framework</w:t>
      </w:r>
      <w:r w:rsidR="003A51F0">
        <w:t xml:space="preserve"> will ensure </w:t>
      </w:r>
      <w:r w:rsidR="00CD3E2A">
        <w:t xml:space="preserve">that </w:t>
      </w:r>
      <w:r w:rsidR="003A51F0">
        <w:t xml:space="preserve">users have the appropriate level of access to the </w:t>
      </w:r>
      <w:r w:rsidR="00821C36">
        <w:t xml:space="preserve">specific objects they need to </w:t>
      </w:r>
      <w:r w:rsidR="00D77AAC">
        <w:t>always fulfill their roles and responsibilities</w:t>
      </w:r>
      <w:r w:rsidR="00821C36">
        <w:t>.</w:t>
      </w:r>
    </w:p>
    <w:p w14:paraId="73A03652" w14:textId="12A047EA" w:rsidR="00DD018C" w:rsidRDefault="00DD018C"/>
    <w:p w14:paraId="70F172B0" w14:textId="28A5F0C6" w:rsidR="00217CBF" w:rsidRDefault="00C57180" w:rsidP="00DD018C">
      <w:pPr>
        <w:pStyle w:val="Heading1"/>
        <w:jc w:val="center"/>
      </w:pPr>
      <w:r w:rsidRPr="00DF7D05">
        <w:t>Department Roles and Responsibilities</w:t>
      </w:r>
    </w:p>
    <w:p w14:paraId="6B19BF2C" w14:textId="77777777" w:rsidR="00DD018C" w:rsidRPr="00DD018C" w:rsidRDefault="00DD018C" w:rsidP="00DD018C"/>
    <w:p w14:paraId="5534BBC1" w14:textId="31ACEB81" w:rsidR="003903A6" w:rsidRDefault="0007654B">
      <w:r>
        <w:t xml:space="preserve">Having a knowledge of the security roles involved </w:t>
      </w:r>
      <w:r w:rsidR="003A2F31">
        <w:t>with the framework will aid in communication</w:t>
      </w:r>
      <w:r w:rsidR="001A5865">
        <w:t xml:space="preserve"> between teams and members </w:t>
      </w:r>
      <w:r w:rsidR="00F306D2">
        <w:t xml:space="preserve">as well as allow for the implementation </w:t>
      </w:r>
      <w:r w:rsidR="008076EA">
        <w:t xml:space="preserve">and enforcement of all security policies within the framework. </w:t>
      </w:r>
      <w:r w:rsidR="000C40A5">
        <w:t xml:space="preserve">The proceeding table </w:t>
      </w:r>
      <w:r w:rsidR="0028769F">
        <w:t xml:space="preserve">lists a few of the key roles that should be clearly defined and </w:t>
      </w:r>
      <w:r w:rsidR="002E6080">
        <w:t>staffed.</w:t>
      </w:r>
    </w:p>
    <w:tbl>
      <w:tblPr>
        <w:tblStyle w:val="TableGrid"/>
        <w:tblW w:w="0" w:type="auto"/>
        <w:tblLook w:val="04A0" w:firstRow="1" w:lastRow="0" w:firstColumn="1" w:lastColumn="0" w:noHBand="0" w:noVBand="1"/>
      </w:tblPr>
      <w:tblGrid>
        <w:gridCol w:w="4696"/>
        <w:gridCol w:w="4654"/>
      </w:tblGrid>
      <w:tr w:rsidR="001D6607" w:rsidRPr="005854EA" w14:paraId="64BF0C46" w14:textId="77777777" w:rsidTr="00392363">
        <w:tc>
          <w:tcPr>
            <w:tcW w:w="4696" w:type="dxa"/>
          </w:tcPr>
          <w:p w14:paraId="28150552" w14:textId="12139E29" w:rsidR="001D6607" w:rsidRPr="005854EA" w:rsidRDefault="001D6607" w:rsidP="00304893">
            <w:pPr>
              <w:rPr>
                <w:rFonts w:ascii="Arial" w:hAnsi="Arial" w:cs="Arial"/>
              </w:rPr>
            </w:pPr>
            <w:r>
              <w:t>Compliance and Risk Department</w:t>
            </w:r>
          </w:p>
        </w:tc>
        <w:tc>
          <w:tcPr>
            <w:tcW w:w="4654" w:type="dxa"/>
          </w:tcPr>
          <w:p w14:paraId="4979E7D1" w14:textId="6E06CF59" w:rsidR="001D6607" w:rsidRPr="005854EA" w:rsidRDefault="00E52ADF" w:rsidP="00304893">
            <w:pPr>
              <w:rPr>
                <w:rFonts w:ascii="Arial" w:hAnsi="Arial" w:cs="Arial"/>
              </w:rPr>
            </w:pPr>
            <w:r>
              <w:rPr>
                <w:rFonts w:ascii="TimesNewRomanPSMT" w:hAnsi="TimesNewRomanPSMT" w:cs="TimesNewRomanPSMT"/>
                <w:sz w:val="24"/>
                <w:szCs w:val="24"/>
              </w:rPr>
              <w:t>Security Department</w:t>
            </w:r>
          </w:p>
        </w:tc>
      </w:tr>
      <w:tr w:rsidR="001D6607" w:rsidRPr="005854EA" w14:paraId="3D81F10B" w14:textId="77777777" w:rsidTr="00392363">
        <w:tc>
          <w:tcPr>
            <w:tcW w:w="4696" w:type="dxa"/>
          </w:tcPr>
          <w:p w14:paraId="1046C0FC" w14:textId="403CB82D" w:rsidR="001D6607" w:rsidRPr="00D175F6" w:rsidRDefault="00D175F6" w:rsidP="00D175F6">
            <w:pPr>
              <w:pStyle w:val="NoSpacing"/>
            </w:pPr>
            <w:r>
              <w:t>Conduct internal audits and reviews to ensure compliance</w:t>
            </w:r>
            <w:r w:rsidR="00735796">
              <w:t>.</w:t>
            </w:r>
          </w:p>
        </w:tc>
        <w:tc>
          <w:tcPr>
            <w:tcW w:w="4654" w:type="dxa"/>
          </w:tcPr>
          <w:p w14:paraId="05663813" w14:textId="031899DA" w:rsidR="001D6607" w:rsidRPr="00735796" w:rsidRDefault="00735796" w:rsidP="00735796">
            <w:pPr>
              <w:pStyle w:val="NoSpacing"/>
              <w:rPr>
                <w:sz w:val="24"/>
              </w:rPr>
            </w:pPr>
            <w:r>
              <w:rPr>
                <w:sz w:val="24"/>
              </w:rPr>
              <w:t>Identify deficiencies in existing processes and develop mitigation steps to remediate the deficiency.</w:t>
            </w:r>
          </w:p>
        </w:tc>
      </w:tr>
      <w:tr w:rsidR="001D6607" w:rsidRPr="005854EA" w14:paraId="79766BC2" w14:textId="77777777" w:rsidTr="00392363">
        <w:tc>
          <w:tcPr>
            <w:tcW w:w="4696" w:type="dxa"/>
          </w:tcPr>
          <w:p w14:paraId="3D08F90E" w14:textId="573C52AE" w:rsidR="001D6607" w:rsidRPr="00A50791" w:rsidRDefault="00A50791" w:rsidP="00A50791">
            <w:pPr>
              <w:pStyle w:val="NoSpacing"/>
            </w:pPr>
            <w:r>
              <w:t>Ensure organizational compliance with government regulations</w:t>
            </w:r>
            <w:r w:rsidR="00735796">
              <w:t>.</w:t>
            </w:r>
          </w:p>
        </w:tc>
        <w:tc>
          <w:tcPr>
            <w:tcW w:w="4654" w:type="dxa"/>
          </w:tcPr>
          <w:p w14:paraId="1C47618F" w14:textId="3457ED65" w:rsidR="001D6607" w:rsidRPr="00D453B2" w:rsidRDefault="00D453B2" w:rsidP="00D453B2">
            <w:pPr>
              <w:pStyle w:val="NoSpacing"/>
              <w:rPr>
                <w:spacing w:val="-57"/>
                <w:sz w:val="24"/>
              </w:rPr>
            </w:pPr>
            <w:r>
              <w:rPr>
                <w:sz w:val="24"/>
              </w:rPr>
              <w:t>Enforce security guidelines, policies, and procedures</w:t>
            </w:r>
            <w:r>
              <w:rPr>
                <w:spacing w:val="-57"/>
                <w:sz w:val="24"/>
              </w:rPr>
              <w:t xml:space="preserve"> </w:t>
            </w:r>
          </w:p>
        </w:tc>
      </w:tr>
      <w:tr w:rsidR="001D6607" w:rsidRPr="005854EA" w14:paraId="6A28FFD2" w14:textId="77777777" w:rsidTr="00392363">
        <w:trPr>
          <w:trHeight w:val="296"/>
        </w:trPr>
        <w:tc>
          <w:tcPr>
            <w:tcW w:w="4696" w:type="dxa"/>
          </w:tcPr>
          <w:p w14:paraId="4F10F640" w14:textId="6477937B" w:rsidR="001D6607" w:rsidRPr="002F2813" w:rsidRDefault="00021757" w:rsidP="002F2813">
            <w:pPr>
              <w:pStyle w:val="NoSpacing"/>
            </w:pPr>
            <w:r w:rsidRPr="00482AE8">
              <w:t>Facilitates internal/external audits to ensure policies are</w:t>
            </w:r>
            <w:r>
              <w:t xml:space="preserve"> enforced and current.</w:t>
            </w:r>
          </w:p>
        </w:tc>
        <w:tc>
          <w:tcPr>
            <w:tcW w:w="4654" w:type="dxa"/>
          </w:tcPr>
          <w:p w14:paraId="58C3C9FE" w14:textId="6F4E740B" w:rsidR="001D6607" w:rsidRPr="005854EA" w:rsidRDefault="00D453B2" w:rsidP="00304893">
            <w:pPr>
              <w:rPr>
                <w:rFonts w:ascii="Arial" w:hAnsi="Arial" w:cs="Arial"/>
              </w:rPr>
            </w:pPr>
            <w:r>
              <w:rPr>
                <w:sz w:val="24"/>
              </w:rPr>
              <w:t>Monitor and address alerts</w:t>
            </w:r>
            <w:r>
              <w:rPr>
                <w:spacing w:val="-1"/>
                <w:sz w:val="24"/>
              </w:rPr>
              <w:t xml:space="preserve"> generated by</w:t>
            </w:r>
            <w:r>
              <w:rPr>
                <w:spacing w:val="1"/>
                <w:sz w:val="24"/>
              </w:rPr>
              <w:t xml:space="preserve"> </w:t>
            </w:r>
            <w:r>
              <w:rPr>
                <w:sz w:val="24"/>
              </w:rPr>
              <w:t>vulnerability and security scanning and intrusion detection systems</w:t>
            </w:r>
          </w:p>
        </w:tc>
      </w:tr>
      <w:tr w:rsidR="00D453B2" w:rsidRPr="005854EA" w14:paraId="4BE03CD9" w14:textId="77777777" w:rsidTr="00392363">
        <w:trPr>
          <w:trHeight w:val="296"/>
        </w:trPr>
        <w:tc>
          <w:tcPr>
            <w:tcW w:w="4696" w:type="dxa"/>
          </w:tcPr>
          <w:p w14:paraId="636C943A" w14:textId="4338512D" w:rsidR="00D453B2" w:rsidRPr="00482AE8" w:rsidRDefault="00D453B2" w:rsidP="002F2813">
            <w:pPr>
              <w:pStyle w:val="NoSpacing"/>
            </w:pPr>
            <w:r>
              <w:t>Perform risk assessments</w:t>
            </w:r>
          </w:p>
        </w:tc>
        <w:tc>
          <w:tcPr>
            <w:tcW w:w="4654" w:type="dxa"/>
          </w:tcPr>
          <w:p w14:paraId="577F5B59" w14:textId="05B72F6A" w:rsidR="00D453B2" w:rsidRDefault="00DB2FC8" w:rsidP="00DB2FC8">
            <w:pPr>
              <w:pStyle w:val="NoSpacing"/>
              <w:rPr>
                <w:sz w:val="24"/>
              </w:rPr>
            </w:pPr>
            <w:r>
              <w:rPr>
                <w:spacing w:val="-3"/>
                <w:sz w:val="24"/>
              </w:rPr>
              <w:t xml:space="preserve">Maintain </w:t>
            </w:r>
            <w:r>
              <w:rPr>
                <w:sz w:val="24"/>
              </w:rPr>
              <w:t>systems hosting</w:t>
            </w:r>
            <w:r>
              <w:rPr>
                <w:spacing w:val="-1"/>
                <w:sz w:val="24"/>
              </w:rPr>
              <w:t xml:space="preserve"> </w:t>
            </w:r>
            <w:r>
              <w:rPr>
                <w:sz w:val="24"/>
              </w:rPr>
              <w:t>security and compliance</w:t>
            </w:r>
            <w:r>
              <w:rPr>
                <w:spacing w:val="-1"/>
                <w:sz w:val="24"/>
              </w:rPr>
              <w:t xml:space="preserve"> </w:t>
            </w:r>
            <w:r>
              <w:rPr>
                <w:sz w:val="24"/>
              </w:rPr>
              <w:t>services</w:t>
            </w:r>
          </w:p>
        </w:tc>
      </w:tr>
      <w:tr w:rsidR="00DB2FC8" w:rsidRPr="005854EA" w14:paraId="624E2619" w14:textId="77777777" w:rsidTr="00392363">
        <w:trPr>
          <w:trHeight w:val="296"/>
        </w:trPr>
        <w:tc>
          <w:tcPr>
            <w:tcW w:w="4696" w:type="dxa"/>
          </w:tcPr>
          <w:p w14:paraId="0F754DC3" w14:textId="08EA271F" w:rsidR="00DB2FC8" w:rsidRDefault="005F1B4F" w:rsidP="002F2813">
            <w:pPr>
              <w:pStyle w:val="NoSpacing"/>
            </w:pPr>
            <w:r>
              <w:t>Document</w:t>
            </w:r>
            <w:r>
              <w:rPr>
                <w:spacing w:val="-3"/>
              </w:rPr>
              <w:t xml:space="preserve"> organizational </w:t>
            </w:r>
            <w:r>
              <w:t>processes</w:t>
            </w:r>
            <w:r>
              <w:rPr>
                <w:spacing w:val="-2"/>
              </w:rPr>
              <w:t xml:space="preserve"> and </w:t>
            </w:r>
            <w:r>
              <w:t>workflows</w:t>
            </w:r>
          </w:p>
        </w:tc>
        <w:tc>
          <w:tcPr>
            <w:tcW w:w="4654" w:type="dxa"/>
          </w:tcPr>
          <w:p w14:paraId="2234E551" w14:textId="4DFABAFC" w:rsidR="00DB2FC8" w:rsidRDefault="00392363" w:rsidP="00DB2FC8">
            <w:pPr>
              <w:pStyle w:val="NoSpacing"/>
              <w:rPr>
                <w:spacing w:val="-3"/>
                <w:sz w:val="24"/>
              </w:rPr>
            </w:pPr>
            <w:r>
              <w:rPr>
                <w:rFonts w:ascii="TimesNewRomanPSMT" w:hAnsi="TimesNewRomanPSMT" w:cs="TimesNewRomanPSMT"/>
                <w:sz w:val="24"/>
                <w:szCs w:val="24"/>
              </w:rPr>
              <w:t>Develop annual admin security training</w:t>
            </w:r>
          </w:p>
        </w:tc>
      </w:tr>
      <w:tr w:rsidR="00F174D4" w:rsidRPr="005854EA" w14:paraId="1FC0DF2C" w14:textId="77777777" w:rsidTr="00392363">
        <w:trPr>
          <w:trHeight w:val="296"/>
        </w:trPr>
        <w:tc>
          <w:tcPr>
            <w:tcW w:w="4696" w:type="dxa"/>
          </w:tcPr>
          <w:p w14:paraId="59E5BA94" w14:textId="053F0F6E" w:rsidR="00F174D4" w:rsidRDefault="00602B36" w:rsidP="002F2813">
            <w:pPr>
              <w:pStyle w:val="NoSpacing"/>
            </w:pPr>
            <w:r>
              <w:t xml:space="preserve">Evaluate </w:t>
            </w:r>
            <w:r w:rsidR="004634F2">
              <w:t>analysis of access to all systems annually</w:t>
            </w:r>
          </w:p>
        </w:tc>
        <w:tc>
          <w:tcPr>
            <w:tcW w:w="4654" w:type="dxa"/>
          </w:tcPr>
          <w:p w14:paraId="5D339AA7" w14:textId="1FA8711F" w:rsidR="00F174D4" w:rsidRDefault="00435183" w:rsidP="00DB2FC8">
            <w:pPr>
              <w:pStyle w:val="NoSpacing"/>
              <w:rPr>
                <w:rFonts w:ascii="TimesNewRomanPSMT" w:hAnsi="TimesNewRomanPSMT" w:cs="TimesNewRomanPSMT"/>
                <w:sz w:val="24"/>
                <w:szCs w:val="24"/>
              </w:rPr>
            </w:pPr>
            <w:r>
              <w:rPr>
                <w:rFonts w:ascii="TimesNewRomanPSMT" w:hAnsi="TimesNewRomanPSMT" w:cs="TimesNewRomanPSMT"/>
                <w:sz w:val="24"/>
                <w:szCs w:val="24"/>
              </w:rPr>
              <w:t>Confirm</w:t>
            </w:r>
            <w:r w:rsidR="00382BD5">
              <w:rPr>
                <w:rFonts w:ascii="TimesNewRomanPSMT" w:hAnsi="TimesNewRomanPSMT" w:cs="TimesNewRomanPSMT"/>
                <w:sz w:val="24"/>
                <w:szCs w:val="24"/>
              </w:rPr>
              <w:t xml:space="preserve"> efforts to remediate </w:t>
            </w:r>
            <w:r w:rsidR="00DB6F31">
              <w:rPr>
                <w:rFonts w:ascii="TimesNewRomanPSMT" w:hAnsi="TimesNewRomanPSMT" w:cs="TimesNewRomanPSMT"/>
                <w:sz w:val="24"/>
                <w:szCs w:val="24"/>
              </w:rPr>
              <w:t>vulnerabilities found in systems</w:t>
            </w:r>
            <w:r w:rsidR="0077566F">
              <w:rPr>
                <w:rFonts w:ascii="TimesNewRomanPSMT" w:hAnsi="TimesNewRomanPSMT" w:cs="TimesNewRomanPSMT"/>
                <w:sz w:val="24"/>
                <w:szCs w:val="24"/>
              </w:rPr>
              <w:t>.</w:t>
            </w:r>
          </w:p>
        </w:tc>
      </w:tr>
    </w:tbl>
    <w:p w14:paraId="3EFABC32" w14:textId="72A8F0C6" w:rsidR="00130397" w:rsidRPr="00130397" w:rsidRDefault="00F856B9" w:rsidP="00F856B9">
      <w:pPr>
        <w:pStyle w:val="Caption"/>
        <w:jc w:val="center"/>
        <w:sectPr w:rsidR="00130397" w:rsidRPr="00130397" w:rsidSect="009F6877">
          <w:pgSz w:w="12240" w:h="15840"/>
          <w:pgMar w:top="1440" w:right="1440" w:bottom="1350" w:left="1440" w:header="720" w:footer="720" w:gutter="0"/>
          <w:cols w:space="720"/>
        </w:sectPr>
      </w:pPr>
      <w:r>
        <w:br/>
      </w:r>
      <w:r w:rsidR="00130397">
        <w:t xml:space="preserve">Table </w:t>
      </w:r>
      <w:r w:rsidR="00000000">
        <w:fldChar w:fldCharType="begin"/>
      </w:r>
      <w:r w:rsidR="00000000">
        <w:instrText xml:space="preserve"> SEQ Table \* ARABIC </w:instrText>
      </w:r>
      <w:r w:rsidR="00000000">
        <w:fldChar w:fldCharType="separate"/>
      </w:r>
      <w:r w:rsidR="007B255E">
        <w:rPr>
          <w:noProof/>
        </w:rPr>
        <w:t>1</w:t>
      </w:r>
      <w:r w:rsidR="00000000">
        <w:rPr>
          <w:noProof/>
        </w:rPr>
        <w:fldChar w:fldCharType="end"/>
      </w:r>
      <w:r w:rsidR="00130397" w:rsidRPr="007565C3">
        <w:t xml:space="preserve"> </w:t>
      </w:r>
      <w:r>
        <w:t>–</w:t>
      </w:r>
      <w:r w:rsidR="00130397" w:rsidRPr="007565C3">
        <w:t xml:space="preserve"> Role</w:t>
      </w:r>
      <w:r>
        <w:t xml:space="preserve"> &amp;</w:t>
      </w:r>
      <w:r w:rsidR="00130397" w:rsidRPr="007565C3">
        <w:t xml:space="preserve"> Responsibilities</w:t>
      </w:r>
    </w:p>
    <w:p w14:paraId="78482CF0" w14:textId="48A39DA0" w:rsidR="00AD7052" w:rsidRDefault="0052521F" w:rsidP="00896B38">
      <w:pPr>
        <w:pStyle w:val="Heading1"/>
        <w:jc w:val="center"/>
      </w:pPr>
      <w:r>
        <w:lastRenderedPageBreak/>
        <w:t>P</w:t>
      </w:r>
      <w:r w:rsidR="00896B38">
        <w:t>CI-DSS policy recommendations</w:t>
      </w:r>
    </w:p>
    <w:p w14:paraId="416B744E" w14:textId="77777777" w:rsidR="006D4402" w:rsidRPr="006D4402" w:rsidRDefault="006D4402" w:rsidP="006D4402"/>
    <w:p w14:paraId="223DC1D4" w14:textId="4EA76764" w:rsidR="00ED0962" w:rsidRDefault="00CA47B8" w:rsidP="00684DC8">
      <w:r>
        <w:t>Ps</w:t>
      </w:r>
      <w:r w:rsidR="00774F28">
        <w:t xml:space="preserve">inuvia, currently accepts payments from </w:t>
      </w:r>
      <w:r w:rsidR="003E57FB">
        <w:t xml:space="preserve">its </w:t>
      </w:r>
      <w:r w:rsidR="002E7316">
        <w:t xml:space="preserve">clientele using </w:t>
      </w:r>
      <w:r w:rsidR="00EE512D">
        <w:t>purchase orders, checks, and credit cards</w:t>
      </w:r>
      <w:r w:rsidR="000A4713">
        <w:t>.</w:t>
      </w:r>
      <w:r w:rsidR="00D14DF0">
        <w:t xml:space="preserve"> Because of the processing of credit card data, </w:t>
      </w:r>
      <w:r w:rsidR="00264A2C">
        <w:t>P</w:t>
      </w:r>
      <w:r w:rsidR="00150F5B">
        <w:t>sinuvia IT Security professionals</w:t>
      </w:r>
      <w:r w:rsidR="00DE622F">
        <w:t xml:space="preserve"> are required </w:t>
      </w:r>
      <w:r w:rsidR="002B55F4">
        <w:t xml:space="preserve">to </w:t>
      </w:r>
      <w:r w:rsidR="002D027E">
        <w:t>ensure</w:t>
      </w:r>
      <w:r w:rsidR="00264A2C">
        <w:t xml:space="preserve"> proper</w:t>
      </w:r>
      <w:r w:rsidR="000456BF">
        <w:t xml:space="preserve"> adoption</w:t>
      </w:r>
      <w:r w:rsidR="00292593">
        <w:t>, implementation, and maintenance</w:t>
      </w:r>
      <w:r w:rsidR="000456BF">
        <w:t xml:space="preserve"> of data security measures </w:t>
      </w:r>
      <w:r w:rsidR="00715101">
        <w:t>required by the Payment Industry’s Data Security Standards</w:t>
      </w:r>
      <w:r w:rsidR="00292593">
        <w:t xml:space="preserve"> (PCI-DSS)</w:t>
      </w:r>
      <w:r w:rsidR="006A6706">
        <w:t>.</w:t>
      </w:r>
      <w:r w:rsidR="0060102C">
        <w:t xml:space="preserve"> </w:t>
      </w:r>
      <w:r w:rsidR="0060102C" w:rsidRPr="0060102C">
        <w:t>PCI DSS provides a baseline of technical and operational requirements designed to protect account data</w:t>
      </w:r>
      <w:sdt>
        <w:sdtPr>
          <w:id w:val="328258869"/>
          <w:citation/>
        </w:sdtPr>
        <w:sdtContent>
          <w:r w:rsidR="00F755E8">
            <w:fldChar w:fldCharType="begin"/>
          </w:r>
          <w:r w:rsidR="00F755E8">
            <w:instrText xml:space="preserve"> CITATION PCI22 \l 1033 </w:instrText>
          </w:r>
          <w:r w:rsidR="00F755E8">
            <w:fldChar w:fldCharType="separate"/>
          </w:r>
          <w:r w:rsidR="00F755E8">
            <w:rPr>
              <w:noProof/>
            </w:rPr>
            <w:t xml:space="preserve"> (PCI Security Standards Council, LLC, 2022)</w:t>
          </w:r>
          <w:r w:rsidR="00F755E8">
            <w:fldChar w:fldCharType="end"/>
          </w:r>
        </w:sdtContent>
      </w:sdt>
      <w:r w:rsidR="0060102C" w:rsidRPr="0060102C">
        <w:t>.</w:t>
      </w:r>
      <w:r w:rsidR="00EB47E3">
        <w:t xml:space="preserve"> The PCI</w:t>
      </w:r>
      <w:r w:rsidR="00FF2ABC">
        <w:t xml:space="preserve">-DSS </w:t>
      </w:r>
      <w:r w:rsidR="0058182C">
        <w:t xml:space="preserve">standard </w:t>
      </w:r>
      <w:r w:rsidR="00080EB4">
        <w:t>has 12</w:t>
      </w:r>
      <w:r w:rsidR="008E606D">
        <w:t xml:space="preserve"> security</w:t>
      </w:r>
      <w:r w:rsidR="001864B9">
        <w:t xml:space="preserve"> </w:t>
      </w:r>
      <w:r w:rsidR="00444070">
        <w:t xml:space="preserve">requirements </w:t>
      </w:r>
      <w:r w:rsidR="00091EDB">
        <w:t>tha</w:t>
      </w:r>
      <w:r w:rsidR="00325371">
        <w:t xml:space="preserve">t </w:t>
      </w:r>
      <w:r w:rsidR="00F7188F">
        <w:t xml:space="preserve">are </w:t>
      </w:r>
      <w:r w:rsidR="00ED27E9">
        <w:t xml:space="preserve">meant to </w:t>
      </w:r>
      <w:r w:rsidR="00F8202F">
        <w:t xml:space="preserve">protect </w:t>
      </w:r>
      <w:r w:rsidR="00EC2360">
        <w:t>sensitive data</w:t>
      </w:r>
      <w:r w:rsidR="001306DA">
        <w:t xml:space="preserve">, mitigate potential risks </w:t>
      </w:r>
      <w:r w:rsidR="00984A04">
        <w:t xml:space="preserve">and </w:t>
      </w:r>
      <w:r w:rsidR="002D0A92">
        <w:t xml:space="preserve">adhere to local, state, </w:t>
      </w:r>
      <w:r w:rsidR="00410F49">
        <w:t>and federal regulations.</w:t>
      </w:r>
    </w:p>
    <w:p w14:paraId="65DD3B55" w14:textId="77777777" w:rsidR="00424557" w:rsidRDefault="00424557" w:rsidP="00424557">
      <w:pPr>
        <w:pStyle w:val="Caption"/>
        <w:jc w:val="center"/>
      </w:pPr>
      <w:r>
        <w:t xml:space="preserve">Image </w:t>
      </w:r>
      <w:r w:rsidR="00000000">
        <w:fldChar w:fldCharType="begin"/>
      </w:r>
      <w:r w:rsidR="00000000">
        <w:instrText xml:space="preserve"> SEQ Image \* ARABIC </w:instrText>
      </w:r>
      <w:r w:rsidR="00000000">
        <w:fldChar w:fldCharType="separate"/>
      </w:r>
      <w:r>
        <w:rPr>
          <w:noProof/>
        </w:rPr>
        <w:t>2</w:t>
      </w:r>
      <w:r w:rsidR="00000000">
        <w:rPr>
          <w:noProof/>
        </w:rPr>
        <w:fldChar w:fldCharType="end"/>
      </w:r>
      <w:r>
        <w:t xml:space="preserve"> - PCI DSS Requirements</w:t>
      </w:r>
    </w:p>
    <w:p w14:paraId="0F674DCE" w14:textId="77777777" w:rsidR="00D77AAC" w:rsidRDefault="0052521F" w:rsidP="00E804CC">
      <w:pPr>
        <w:keepNext/>
        <w:jc w:val="center"/>
      </w:pPr>
      <w:r w:rsidRPr="0052521F">
        <w:rPr>
          <w:noProof/>
        </w:rPr>
        <w:drawing>
          <wp:inline distT="0" distB="0" distL="0" distR="0" wp14:anchorId="2B26FA13" wp14:editId="68A9EB69">
            <wp:extent cx="5574182" cy="2390519"/>
            <wp:effectExtent l="0" t="0" r="762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7"/>
                    <a:srcRect l="2586" t="6575" r="3620"/>
                    <a:stretch/>
                  </pic:blipFill>
                  <pic:spPr bwMode="auto">
                    <a:xfrm>
                      <a:off x="0" y="0"/>
                      <a:ext cx="5574841" cy="2390801"/>
                    </a:xfrm>
                    <a:prstGeom prst="rect">
                      <a:avLst/>
                    </a:prstGeom>
                    <a:ln>
                      <a:noFill/>
                    </a:ln>
                    <a:extLst>
                      <a:ext uri="{53640926-AAD7-44D8-BBD7-CCE9431645EC}">
                        <a14:shadowObscured xmlns:a14="http://schemas.microsoft.com/office/drawing/2010/main"/>
                      </a:ext>
                    </a:extLst>
                  </pic:spPr>
                </pic:pic>
              </a:graphicData>
            </a:graphic>
          </wp:inline>
        </w:drawing>
      </w:r>
    </w:p>
    <w:p w14:paraId="4A8D60C8" w14:textId="288C6E32" w:rsidR="0036318B" w:rsidRPr="00692505" w:rsidRDefault="00000000" w:rsidP="001157BC">
      <w:pPr>
        <w:pStyle w:val="Caption"/>
        <w:rPr>
          <w:rStyle w:val="IntenseEmphasis"/>
        </w:rPr>
      </w:pPr>
      <w:sdt>
        <w:sdtPr>
          <w:rPr>
            <w:rStyle w:val="IntenseEmphasis"/>
          </w:rPr>
          <w:id w:val="-181971795"/>
          <w:citation/>
        </w:sdtPr>
        <w:sdtContent>
          <w:r w:rsidR="0036318B" w:rsidRPr="00692505">
            <w:rPr>
              <w:rStyle w:val="IntenseEmphasis"/>
            </w:rPr>
            <w:fldChar w:fldCharType="begin"/>
          </w:r>
          <w:r w:rsidR="0036318B" w:rsidRPr="00692505">
            <w:rPr>
              <w:rStyle w:val="IntenseEmphasis"/>
            </w:rPr>
            <w:instrText xml:space="preserve"> CITATION PCI22 \l 1033 </w:instrText>
          </w:r>
          <w:r w:rsidR="0036318B" w:rsidRPr="00692505">
            <w:rPr>
              <w:rStyle w:val="IntenseEmphasis"/>
            </w:rPr>
            <w:fldChar w:fldCharType="separate"/>
          </w:r>
          <w:r w:rsidR="0036318B" w:rsidRPr="00692505">
            <w:rPr>
              <w:rStyle w:val="IntenseEmphasis"/>
            </w:rPr>
            <w:t>(PCI Security Standards Council, LLC, 2022)</w:t>
          </w:r>
          <w:r w:rsidR="0036318B" w:rsidRPr="00692505">
            <w:rPr>
              <w:rStyle w:val="IntenseEmphasis"/>
            </w:rPr>
            <w:fldChar w:fldCharType="end"/>
          </w:r>
        </w:sdtContent>
      </w:sdt>
    </w:p>
    <w:p w14:paraId="154CAF44" w14:textId="77777777" w:rsidR="00F7793F" w:rsidRPr="006937A3" w:rsidRDefault="00F7793F" w:rsidP="00684DC8">
      <w:pPr>
        <w:rPr>
          <w:sz w:val="18"/>
          <w:szCs w:val="18"/>
        </w:rPr>
      </w:pPr>
    </w:p>
    <w:p w14:paraId="20CCFECE" w14:textId="2142A8A6" w:rsidR="00AA489D" w:rsidRDefault="00302009" w:rsidP="00684DC8">
      <w:r>
        <w:t>Collaboration between the IT secu</w:t>
      </w:r>
      <w:r w:rsidR="0022241A">
        <w:t xml:space="preserve">rity professionals and the Compliance Department of </w:t>
      </w:r>
      <w:r w:rsidR="0049205F">
        <w:t>Psinuvia</w:t>
      </w:r>
      <w:r w:rsidR="00E207F9">
        <w:t xml:space="preserve"> will be needed to </w:t>
      </w:r>
      <w:r w:rsidR="005669B9">
        <w:t>ensure</w:t>
      </w:r>
      <w:r w:rsidR="00E610CC">
        <w:t xml:space="preserve"> </w:t>
      </w:r>
      <w:r w:rsidR="001665AE">
        <w:t xml:space="preserve">these PCI standards are met </w:t>
      </w:r>
      <w:r w:rsidR="00E73725">
        <w:t xml:space="preserve">and </w:t>
      </w:r>
      <w:r w:rsidR="00A35AFE">
        <w:t>always maintained</w:t>
      </w:r>
      <w:r w:rsidR="00926C77">
        <w:t xml:space="preserve"> </w:t>
      </w:r>
      <w:r w:rsidR="000A76A6">
        <w:t xml:space="preserve">across the organization. </w:t>
      </w:r>
      <w:r w:rsidR="00525320">
        <w:t>The following are</w:t>
      </w:r>
      <w:r w:rsidR="00DF0E88">
        <w:t xml:space="preserve"> key </w:t>
      </w:r>
      <w:r w:rsidR="00771DC9">
        <w:t>areas</w:t>
      </w:r>
      <w:r w:rsidR="00DF0E88">
        <w:t xml:space="preserve"> </w:t>
      </w:r>
      <w:r w:rsidR="00952EFA">
        <w:t>of importance</w:t>
      </w:r>
      <w:r w:rsidR="00C87C15">
        <w:t>:</w:t>
      </w:r>
    </w:p>
    <w:p w14:paraId="32B7B8EC" w14:textId="64DD59D1" w:rsidR="004903C0" w:rsidRDefault="004903C0" w:rsidP="004903C0">
      <w:pPr>
        <w:pStyle w:val="Heading3"/>
        <w:rPr>
          <w:b/>
          <w:bCs/>
          <w:u w:val="single"/>
        </w:rPr>
      </w:pPr>
      <w:r w:rsidRPr="00FF5FB1">
        <w:rPr>
          <w:b/>
          <w:bCs/>
          <w:u w:val="single"/>
        </w:rPr>
        <w:t>Build</w:t>
      </w:r>
      <w:r w:rsidR="0097582B" w:rsidRPr="00FF5FB1">
        <w:rPr>
          <w:b/>
          <w:bCs/>
          <w:u w:val="single"/>
        </w:rPr>
        <w:t xml:space="preserve"> and Maintaining a Secured Network </w:t>
      </w:r>
      <w:r w:rsidR="00FF5FB1" w:rsidRPr="00FF5FB1">
        <w:rPr>
          <w:b/>
          <w:bCs/>
          <w:u w:val="single"/>
        </w:rPr>
        <w:t>Infrastructure</w:t>
      </w:r>
    </w:p>
    <w:p w14:paraId="6DBBA9E0" w14:textId="46D14AB9" w:rsidR="008F0169" w:rsidRDefault="00997750" w:rsidP="008F0169">
      <w:r>
        <w:t xml:space="preserve">The </w:t>
      </w:r>
      <w:r w:rsidR="00DD7C8F">
        <w:t xml:space="preserve">IT Security </w:t>
      </w:r>
      <w:r w:rsidR="001B6438">
        <w:t xml:space="preserve">Department </w:t>
      </w:r>
      <w:r w:rsidR="00E33D7A">
        <w:t xml:space="preserve">will be responsible for evaluating </w:t>
      </w:r>
      <w:r w:rsidR="006C5B52">
        <w:t xml:space="preserve">the current </w:t>
      </w:r>
      <w:r w:rsidR="00774C61">
        <w:t xml:space="preserve">operational </w:t>
      </w:r>
      <w:r w:rsidR="006C5B52">
        <w:t>environment</w:t>
      </w:r>
      <w:r w:rsidR="00C326F5">
        <w:t xml:space="preserve"> including</w:t>
      </w:r>
      <w:r w:rsidR="003F757B">
        <w:t xml:space="preserve"> both physical and logical </w:t>
      </w:r>
      <w:r w:rsidR="0071606E">
        <w:t xml:space="preserve">network </w:t>
      </w:r>
      <w:r w:rsidR="00F94462">
        <w:t>and sys</w:t>
      </w:r>
      <w:r w:rsidR="00C83A8D">
        <w:t>tems</w:t>
      </w:r>
      <w:r w:rsidR="00CB6EAB">
        <w:t>, policies</w:t>
      </w:r>
      <w:r w:rsidR="00782537">
        <w:t xml:space="preserve">, </w:t>
      </w:r>
      <w:r w:rsidR="00FA264F">
        <w:t>procedures,</w:t>
      </w:r>
      <w:r w:rsidR="00782537">
        <w:t xml:space="preserve"> and</w:t>
      </w:r>
      <w:r w:rsidR="00A65960">
        <w:t xml:space="preserve"> existing </w:t>
      </w:r>
      <w:r w:rsidR="00D4214C">
        <w:t>standards.  With this information in hand</w:t>
      </w:r>
      <w:r w:rsidR="00510557">
        <w:t xml:space="preserve">, </w:t>
      </w:r>
      <w:r w:rsidR="0032538C">
        <w:t xml:space="preserve">network security controls </w:t>
      </w:r>
      <w:r w:rsidR="00B739FA">
        <w:t>wi</w:t>
      </w:r>
      <w:r w:rsidR="003F496D">
        <w:t>ll be designed</w:t>
      </w:r>
      <w:r w:rsidR="00785CF9">
        <w:t xml:space="preserve"> and implemented to secure </w:t>
      </w:r>
      <w:r w:rsidR="004811B2">
        <w:t>all systems</w:t>
      </w:r>
      <w:r w:rsidR="00121760">
        <w:t xml:space="preserve"> and their </w:t>
      </w:r>
      <w:r w:rsidR="007452A5">
        <w:t>associated configurations</w:t>
      </w:r>
      <w:r w:rsidR="004811B2">
        <w:t xml:space="preserve"> within the infrastructure</w:t>
      </w:r>
      <w:r w:rsidR="003C4972">
        <w:t xml:space="preserve">.  </w:t>
      </w:r>
      <w:r w:rsidR="00490392">
        <w:t xml:space="preserve">The compliance department </w:t>
      </w:r>
      <w:r w:rsidR="00C36158">
        <w:t xml:space="preserve">will be tasked with </w:t>
      </w:r>
      <w:r w:rsidR="000E42BC">
        <w:t>review</w:t>
      </w:r>
      <w:r w:rsidR="005754AA">
        <w:t xml:space="preserve">ing </w:t>
      </w:r>
      <w:r w:rsidR="00CA6486">
        <w:t>adherence</w:t>
      </w:r>
      <w:r w:rsidR="00EA3F54">
        <w:t xml:space="preserve"> of</w:t>
      </w:r>
      <w:r w:rsidR="005730E5">
        <w:t xml:space="preserve"> the </w:t>
      </w:r>
      <w:r w:rsidR="00E75300">
        <w:t xml:space="preserve">established policies and procedures as well as documenting </w:t>
      </w:r>
      <w:r w:rsidR="00A715BD">
        <w:t xml:space="preserve">and retaining </w:t>
      </w:r>
      <w:r w:rsidR="002530BC">
        <w:t>compliance status</w:t>
      </w:r>
      <w:r w:rsidR="00376118">
        <w:t xml:space="preserve"> throughout the </w:t>
      </w:r>
      <w:r w:rsidR="00182E4D">
        <w:t xml:space="preserve">lifetime of the </w:t>
      </w:r>
      <w:r w:rsidR="00CA6486">
        <w:t>network security controls.</w:t>
      </w:r>
      <w:r w:rsidR="00631838">
        <w:t xml:space="preserve"> </w:t>
      </w:r>
    </w:p>
    <w:p w14:paraId="6D01952D" w14:textId="77777777" w:rsidR="00EA568F" w:rsidRDefault="00EA568F" w:rsidP="00AD7046">
      <w:pPr>
        <w:pStyle w:val="Heading3"/>
        <w:rPr>
          <w:b/>
          <w:bCs/>
          <w:u w:val="single"/>
        </w:rPr>
        <w:sectPr w:rsidR="00EA568F">
          <w:pgSz w:w="12240" w:h="15840"/>
          <w:pgMar w:top="1440" w:right="1440" w:bottom="1440" w:left="1440" w:header="720" w:footer="720" w:gutter="0"/>
          <w:cols w:space="720"/>
        </w:sectPr>
      </w:pPr>
    </w:p>
    <w:p w14:paraId="10A6BC5F" w14:textId="28954DA5" w:rsidR="00FF5FB1" w:rsidRDefault="00AD7046" w:rsidP="00AD7046">
      <w:pPr>
        <w:pStyle w:val="Heading3"/>
        <w:rPr>
          <w:b/>
          <w:bCs/>
          <w:u w:val="single"/>
        </w:rPr>
      </w:pPr>
      <w:r>
        <w:rPr>
          <w:b/>
          <w:bCs/>
          <w:u w:val="single"/>
        </w:rPr>
        <w:lastRenderedPageBreak/>
        <w:t>Protect Sensitive</w:t>
      </w:r>
      <w:r w:rsidR="00F32079">
        <w:rPr>
          <w:b/>
          <w:bCs/>
          <w:u w:val="single"/>
        </w:rPr>
        <w:t xml:space="preserve"> Card Holder Data</w:t>
      </w:r>
    </w:p>
    <w:p w14:paraId="2B39BBA0" w14:textId="77777777" w:rsidR="00BA42DC" w:rsidRDefault="00710D75" w:rsidP="00F32079">
      <w:r>
        <w:t xml:space="preserve">Protection of </w:t>
      </w:r>
      <w:r w:rsidR="00844F30">
        <w:t xml:space="preserve">cardholder </w:t>
      </w:r>
      <w:r w:rsidR="002808FB">
        <w:t>sensitive data</w:t>
      </w:r>
      <w:r w:rsidR="009C6853">
        <w:t xml:space="preserve"> </w:t>
      </w:r>
      <w:r w:rsidR="00EA4A41">
        <w:t>will be the responsibility of the IT Security Department</w:t>
      </w:r>
      <w:r w:rsidR="00AC4734">
        <w:t xml:space="preserve">.  This data must </w:t>
      </w:r>
      <w:r w:rsidR="00A57E57">
        <w:t xml:space="preserve">remain </w:t>
      </w:r>
      <w:r w:rsidR="001F0520">
        <w:t>confidential</w:t>
      </w:r>
      <w:r w:rsidR="00682D36">
        <w:t xml:space="preserve">, </w:t>
      </w:r>
      <w:r w:rsidR="00B0096B">
        <w:t xml:space="preserve">its </w:t>
      </w:r>
      <w:r w:rsidR="003E2EE5">
        <w:t xml:space="preserve">integrity </w:t>
      </w:r>
      <w:r w:rsidR="0011643C">
        <w:t xml:space="preserve">maintained, </w:t>
      </w:r>
      <w:r w:rsidR="00C152B0">
        <w:t>and secured from exfiltration</w:t>
      </w:r>
      <w:r w:rsidR="00364EEC">
        <w:t xml:space="preserve"> </w:t>
      </w:r>
      <w:r w:rsidR="002248A3">
        <w:t xml:space="preserve">while </w:t>
      </w:r>
      <w:r w:rsidR="006865FA">
        <w:t xml:space="preserve">in Psinuvia </w:t>
      </w:r>
      <w:r w:rsidR="00326F14">
        <w:t xml:space="preserve">care </w:t>
      </w:r>
      <w:r w:rsidR="00347D8B">
        <w:t xml:space="preserve">at rest, </w:t>
      </w:r>
      <w:r w:rsidR="00895E5C">
        <w:t>process</w:t>
      </w:r>
      <w:r w:rsidR="00951923">
        <w:t>, and transit</w:t>
      </w:r>
      <w:r w:rsidR="007832BA">
        <w:t>.</w:t>
      </w:r>
      <w:r w:rsidR="00151612">
        <w:t xml:space="preserve"> </w:t>
      </w:r>
    </w:p>
    <w:p w14:paraId="5FE9087A" w14:textId="77777777" w:rsidR="00061144" w:rsidRDefault="00061144" w:rsidP="00061144">
      <w:pPr>
        <w:pStyle w:val="Caption"/>
        <w:jc w:val="center"/>
      </w:pPr>
      <w:r>
        <w:t xml:space="preserve">Image </w:t>
      </w:r>
      <w:r w:rsidR="00000000">
        <w:fldChar w:fldCharType="begin"/>
      </w:r>
      <w:r w:rsidR="00000000">
        <w:instrText xml:space="preserve"> SEQ Image \* ARABIC </w:instrText>
      </w:r>
      <w:r w:rsidR="00000000">
        <w:fldChar w:fldCharType="separate"/>
      </w:r>
      <w:r>
        <w:rPr>
          <w:noProof/>
        </w:rPr>
        <w:t>3</w:t>
      </w:r>
      <w:r w:rsidR="00000000">
        <w:rPr>
          <w:noProof/>
        </w:rPr>
        <w:fldChar w:fldCharType="end"/>
      </w:r>
      <w:r>
        <w:t xml:space="preserve"> - Account Data Defined</w:t>
      </w:r>
    </w:p>
    <w:p w14:paraId="1FA537D7" w14:textId="77777777" w:rsidR="00082122" w:rsidRDefault="00D51811" w:rsidP="00807BEB">
      <w:pPr>
        <w:keepNext/>
        <w:jc w:val="center"/>
      </w:pPr>
      <w:r w:rsidRPr="00D51811">
        <w:rPr>
          <w:noProof/>
        </w:rPr>
        <w:drawing>
          <wp:inline distT="0" distB="0" distL="0" distR="0" wp14:anchorId="61E8DB44" wp14:editId="13A9406B">
            <wp:extent cx="5127955" cy="126105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8"/>
                    <a:srcRect l="8496" t="16870" r="5190"/>
                    <a:stretch/>
                  </pic:blipFill>
                  <pic:spPr bwMode="auto">
                    <a:xfrm>
                      <a:off x="0" y="0"/>
                      <a:ext cx="5130231" cy="1261618"/>
                    </a:xfrm>
                    <a:prstGeom prst="rect">
                      <a:avLst/>
                    </a:prstGeom>
                    <a:ln>
                      <a:noFill/>
                    </a:ln>
                    <a:extLst>
                      <a:ext uri="{53640926-AAD7-44D8-BBD7-CCE9431645EC}">
                        <a14:shadowObscured xmlns:a14="http://schemas.microsoft.com/office/drawing/2010/main"/>
                      </a:ext>
                    </a:extLst>
                  </pic:spPr>
                </pic:pic>
              </a:graphicData>
            </a:graphic>
          </wp:inline>
        </w:drawing>
      </w:r>
    </w:p>
    <w:p w14:paraId="61226411" w14:textId="055DDDEC" w:rsidR="00497640" w:rsidRPr="00497640" w:rsidRDefault="00000000" w:rsidP="007D72B3">
      <w:pPr>
        <w:pStyle w:val="Caption"/>
        <w:rPr>
          <w:rStyle w:val="IntenseEmphasis"/>
        </w:rPr>
      </w:pPr>
      <w:sdt>
        <w:sdtPr>
          <w:rPr>
            <w:i w:val="0"/>
            <w:iCs w:val="0"/>
            <w:color w:val="4472C4" w:themeColor="accent1"/>
          </w:rPr>
          <w:id w:val="-1551846302"/>
          <w:citation/>
        </w:sdtPr>
        <w:sdtEndPr>
          <w:rPr>
            <w:rStyle w:val="IntenseEmphasis"/>
          </w:rPr>
        </w:sdtEndPr>
        <w:sdtContent>
          <w:r w:rsidR="00497640" w:rsidRPr="00497640">
            <w:rPr>
              <w:rStyle w:val="IntenseEmphasis"/>
            </w:rPr>
            <w:fldChar w:fldCharType="begin"/>
          </w:r>
          <w:r w:rsidR="00497640" w:rsidRPr="00497640">
            <w:rPr>
              <w:rStyle w:val="IntenseEmphasis"/>
            </w:rPr>
            <w:instrText xml:space="preserve"> CITATION PCI22 \l 1033 </w:instrText>
          </w:r>
          <w:r w:rsidR="00497640" w:rsidRPr="00497640">
            <w:rPr>
              <w:rStyle w:val="IntenseEmphasis"/>
            </w:rPr>
            <w:fldChar w:fldCharType="separate"/>
          </w:r>
          <w:r w:rsidR="00497640" w:rsidRPr="00497640">
            <w:rPr>
              <w:rStyle w:val="IntenseEmphasis"/>
            </w:rPr>
            <w:t>(PCI Security Standards Council, LLC, 2022)</w:t>
          </w:r>
          <w:r w:rsidR="00497640" w:rsidRPr="00497640">
            <w:rPr>
              <w:rStyle w:val="IntenseEmphasis"/>
            </w:rPr>
            <w:fldChar w:fldCharType="end"/>
          </w:r>
        </w:sdtContent>
      </w:sdt>
    </w:p>
    <w:p w14:paraId="14655576" w14:textId="46FB214F" w:rsidR="00F32079" w:rsidRDefault="001B3256" w:rsidP="00F32079">
      <w:r>
        <w:t xml:space="preserve">IT Security can accomplish this by utilizing </w:t>
      </w:r>
      <w:r w:rsidR="00263A75">
        <w:t xml:space="preserve">methods such as encryption, truncation, </w:t>
      </w:r>
      <w:r w:rsidR="002378D4">
        <w:t xml:space="preserve">hashing, salting, </w:t>
      </w:r>
      <w:r w:rsidR="002D1917">
        <w:t xml:space="preserve">and masking </w:t>
      </w:r>
      <w:r w:rsidR="0039694C">
        <w:t>the sensitive data</w:t>
      </w:r>
      <w:r w:rsidR="00937374">
        <w:t xml:space="preserve">.  Additionally, ensuring </w:t>
      </w:r>
      <w:r w:rsidR="00BE5B50">
        <w:t xml:space="preserve">that the data </w:t>
      </w:r>
      <w:r w:rsidR="001C46E8">
        <w:t xml:space="preserve">is </w:t>
      </w:r>
      <w:r w:rsidR="00B14C66">
        <w:t>only stored</w:t>
      </w:r>
      <w:r w:rsidR="00BC7DC7">
        <w:t xml:space="preserve">, in memory or on a </w:t>
      </w:r>
      <w:r w:rsidR="00CD4FC4">
        <w:t xml:space="preserve">persistent storage medium, </w:t>
      </w:r>
      <w:r w:rsidR="00B14C66">
        <w:t xml:space="preserve">when </w:t>
      </w:r>
      <w:r w:rsidR="004A09C7">
        <w:t>necessary</w:t>
      </w:r>
      <w:r w:rsidR="009636BF">
        <w:t xml:space="preserve"> and </w:t>
      </w:r>
      <w:r w:rsidR="00DC19E2">
        <w:t xml:space="preserve">properly </w:t>
      </w:r>
      <w:r w:rsidR="00080534">
        <w:t xml:space="preserve">protected when </w:t>
      </w:r>
      <w:r w:rsidR="00413A71">
        <w:t>at rest</w:t>
      </w:r>
      <w:r w:rsidR="00BB37BD">
        <w:t>.</w:t>
      </w:r>
      <w:r w:rsidR="00DC19E2">
        <w:t xml:space="preserve"> </w:t>
      </w:r>
      <w:r w:rsidR="008620FA">
        <w:t xml:space="preserve">Securing this data while in transit </w:t>
      </w:r>
      <w:r w:rsidR="004C5EF4">
        <w:t xml:space="preserve">in or outside of Psinuvia’s network is also </w:t>
      </w:r>
      <w:r w:rsidR="00C66F98">
        <w:t>required</w:t>
      </w:r>
      <w:r w:rsidR="00E406DB">
        <w:t xml:space="preserve"> at every point along the journey of the data</w:t>
      </w:r>
      <w:r w:rsidR="00C84DAB">
        <w:t xml:space="preserve">. </w:t>
      </w:r>
    </w:p>
    <w:p w14:paraId="556015AB" w14:textId="3979397A" w:rsidR="00C9628D" w:rsidRDefault="000A37BB" w:rsidP="00C9628D">
      <w:pPr>
        <w:pStyle w:val="Heading3"/>
        <w:rPr>
          <w:b/>
          <w:bCs/>
          <w:u w:val="single"/>
        </w:rPr>
      </w:pPr>
      <w:r>
        <w:rPr>
          <w:b/>
          <w:bCs/>
          <w:u w:val="single"/>
        </w:rPr>
        <w:t>Vulnerability</w:t>
      </w:r>
      <w:r w:rsidR="00E6299D">
        <w:rPr>
          <w:b/>
          <w:bCs/>
          <w:u w:val="single"/>
        </w:rPr>
        <w:t xml:space="preserve"> </w:t>
      </w:r>
      <w:r w:rsidR="00527E1B">
        <w:rPr>
          <w:b/>
          <w:bCs/>
          <w:u w:val="single"/>
        </w:rPr>
        <w:t xml:space="preserve">Management </w:t>
      </w:r>
      <w:r w:rsidR="00BC5164">
        <w:rPr>
          <w:b/>
          <w:bCs/>
          <w:u w:val="single"/>
        </w:rPr>
        <w:t>Program</w:t>
      </w:r>
      <w:r w:rsidR="001F1DB6">
        <w:rPr>
          <w:b/>
          <w:bCs/>
          <w:u w:val="single"/>
        </w:rPr>
        <w:t xml:space="preserve"> </w:t>
      </w:r>
      <w:r>
        <w:rPr>
          <w:b/>
          <w:bCs/>
          <w:u w:val="single"/>
        </w:rPr>
        <w:t>E</w:t>
      </w:r>
      <w:r w:rsidR="00F90521">
        <w:rPr>
          <w:b/>
          <w:bCs/>
          <w:u w:val="single"/>
        </w:rPr>
        <w:t>stablished</w:t>
      </w:r>
    </w:p>
    <w:p w14:paraId="4CA429BB" w14:textId="5D01866A" w:rsidR="000A37BB" w:rsidRDefault="001D3047" w:rsidP="000A37BB">
      <w:r>
        <w:t xml:space="preserve">IT Security </w:t>
      </w:r>
      <w:r w:rsidR="001B6570">
        <w:t>will be tasked wit</w:t>
      </w:r>
      <w:r w:rsidR="00645EF9">
        <w:t xml:space="preserve">h implementing and maintaining </w:t>
      </w:r>
      <w:r w:rsidR="00F76BAB">
        <w:t xml:space="preserve">a robust </w:t>
      </w:r>
      <w:r w:rsidR="008633C1">
        <w:t>vulnerability management</w:t>
      </w:r>
      <w:r w:rsidR="008B3B28">
        <w:t xml:space="preserve"> and logging</w:t>
      </w:r>
      <w:r w:rsidR="00517EAC">
        <w:t xml:space="preserve"> system</w:t>
      </w:r>
      <w:r w:rsidR="008B3B28">
        <w:t xml:space="preserve"> to protect </w:t>
      </w:r>
      <w:r w:rsidR="00D959A0">
        <w:t>all P</w:t>
      </w:r>
      <w:r w:rsidR="00D11B33">
        <w:t>sinuvia</w:t>
      </w:r>
      <w:r w:rsidR="000607F3">
        <w:t xml:space="preserve"> </w:t>
      </w:r>
      <w:r w:rsidR="00570014">
        <w:t xml:space="preserve">network, </w:t>
      </w:r>
      <w:r w:rsidR="00800A94">
        <w:t>data, and systems</w:t>
      </w:r>
      <w:r w:rsidR="005848F7">
        <w:t xml:space="preserve">. </w:t>
      </w:r>
      <w:r w:rsidR="009857CE">
        <w:t>This program should p</w:t>
      </w:r>
      <w:r w:rsidR="00D45408">
        <w:t xml:space="preserve">rovide protection </w:t>
      </w:r>
      <w:r w:rsidR="000D205D">
        <w:t xml:space="preserve">from </w:t>
      </w:r>
      <w:r w:rsidR="00D45408">
        <w:t xml:space="preserve">and detection </w:t>
      </w:r>
      <w:r w:rsidR="000D205D">
        <w:t xml:space="preserve">of malicious software, </w:t>
      </w:r>
      <w:r w:rsidR="0051322D">
        <w:t>code,</w:t>
      </w:r>
      <w:r w:rsidR="000D205D">
        <w:t xml:space="preserve"> and </w:t>
      </w:r>
      <w:r w:rsidR="00506C1F">
        <w:t xml:space="preserve">activities within and outside </w:t>
      </w:r>
      <w:r w:rsidR="009D736C">
        <w:t>P</w:t>
      </w:r>
      <w:r w:rsidR="00EE10EA">
        <w:t>sinuvia</w:t>
      </w:r>
      <w:r w:rsidR="003F6591">
        <w:t xml:space="preserve">’s </w:t>
      </w:r>
      <w:r w:rsidR="00D17F72">
        <w:t xml:space="preserve">Infrastructure. </w:t>
      </w:r>
      <w:r w:rsidR="00AA4B36">
        <w:t xml:space="preserve">IT Security Department will also </w:t>
      </w:r>
      <w:r w:rsidR="0067224B">
        <w:t>r</w:t>
      </w:r>
      <w:r w:rsidR="0006688E">
        <w:t xml:space="preserve">emediate </w:t>
      </w:r>
      <w:r w:rsidR="009F7DFA">
        <w:t xml:space="preserve">and document </w:t>
      </w:r>
      <w:r w:rsidR="00B05570">
        <w:t xml:space="preserve">all vulnerabilities </w:t>
      </w:r>
      <w:r w:rsidR="0067224B">
        <w:t>identified by the vulnerability program</w:t>
      </w:r>
      <w:r w:rsidR="00333A79">
        <w:t xml:space="preserve">. </w:t>
      </w:r>
      <w:r w:rsidR="0051322D">
        <w:t xml:space="preserve">The Compliance Department will be </w:t>
      </w:r>
      <w:r w:rsidR="006B1B0E">
        <w:t xml:space="preserve">responsible for review of policies and procedures </w:t>
      </w:r>
      <w:r w:rsidR="00740BCC">
        <w:t xml:space="preserve">supporting the </w:t>
      </w:r>
      <w:r w:rsidR="000C5C36">
        <w:t>Vulnerability Management Program</w:t>
      </w:r>
      <w:r w:rsidR="00E8228E">
        <w:t xml:space="preserve"> </w:t>
      </w:r>
      <w:r w:rsidR="005D5AE3">
        <w:t xml:space="preserve">as well </w:t>
      </w:r>
      <w:r w:rsidR="00F063B8">
        <w:t>as documenting compliance</w:t>
      </w:r>
      <w:r w:rsidR="00F13EB1">
        <w:t xml:space="preserve"> and </w:t>
      </w:r>
      <w:r w:rsidR="007C0DA7">
        <w:t xml:space="preserve">violations of said policies and procedures. </w:t>
      </w:r>
      <w:r w:rsidR="00BE084B">
        <w:t xml:space="preserve">This program should include </w:t>
      </w:r>
      <w:r w:rsidR="008B5DAB">
        <w:t xml:space="preserve">a comprehensive list of accepted </w:t>
      </w:r>
      <w:r w:rsidR="00A148AE">
        <w:t>risks</w:t>
      </w:r>
      <w:r w:rsidR="008571D2">
        <w:t xml:space="preserve"> </w:t>
      </w:r>
      <w:r w:rsidR="00484130">
        <w:t xml:space="preserve">along with documented reasoning for </w:t>
      </w:r>
      <w:r w:rsidR="004A0C1B">
        <w:t>their acceptance.</w:t>
      </w:r>
    </w:p>
    <w:p w14:paraId="4B56A0A5" w14:textId="287DDB30" w:rsidR="002A58C3" w:rsidRDefault="005D2D10" w:rsidP="00E9176F">
      <w:pPr>
        <w:pStyle w:val="Heading3"/>
        <w:rPr>
          <w:b/>
          <w:bCs/>
          <w:u w:val="single"/>
        </w:rPr>
      </w:pPr>
      <w:r w:rsidRPr="006E2DBE">
        <w:rPr>
          <w:b/>
          <w:bCs/>
          <w:u w:val="single"/>
        </w:rPr>
        <w:t>Develop</w:t>
      </w:r>
      <w:r w:rsidR="006E2DBE" w:rsidRPr="006E2DBE">
        <w:rPr>
          <w:b/>
          <w:bCs/>
          <w:u w:val="single"/>
        </w:rPr>
        <w:t xml:space="preserve"> Strong Logical and Physical Access Controls</w:t>
      </w:r>
    </w:p>
    <w:p w14:paraId="01FAD014" w14:textId="4D4994CA" w:rsidR="006E2DBE" w:rsidRDefault="00270125" w:rsidP="006E2DBE">
      <w:r>
        <w:t xml:space="preserve">IT Security will be mandated to establish </w:t>
      </w:r>
      <w:r w:rsidR="008E2A63">
        <w:t xml:space="preserve">Mandatory and Discretionary access controls </w:t>
      </w:r>
      <w:r w:rsidR="004D738E">
        <w:t>for all data</w:t>
      </w:r>
      <w:r w:rsidR="00042330">
        <w:t xml:space="preserve">, </w:t>
      </w:r>
      <w:r w:rsidR="00FD7EDE">
        <w:t xml:space="preserve">systems, </w:t>
      </w:r>
      <w:r w:rsidR="00607280">
        <w:t>people</w:t>
      </w:r>
      <w:r w:rsidR="00745D09">
        <w:t xml:space="preserve">, and network traffic </w:t>
      </w:r>
      <w:r w:rsidR="00EF0089">
        <w:t>while at rest</w:t>
      </w:r>
      <w:r w:rsidR="00514A0E">
        <w:t xml:space="preserve"> or </w:t>
      </w:r>
      <w:r w:rsidR="00461886">
        <w:t>in</w:t>
      </w:r>
      <w:r w:rsidR="00AA1497">
        <w:t xml:space="preserve"> transit</w:t>
      </w:r>
      <w:r w:rsidR="00F81EF9">
        <w:t xml:space="preserve">. </w:t>
      </w:r>
      <w:r w:rsidR="00790D56">
        <w:t>Implementation of “Need to know”</w:t>
      </w:r>
      <w:r w:rsidR="00BB7686">
        <w:t xml:space="preserve"> and “Least Privilege”</w:t>
      </w:r>
      <w:r w:rsidR="00B45024">
        <w:t xml:space="preserve"> used in conjunction with compartment</w:t>
      </w:r>
      <w:r w:rsidR="00C13642">
        <w:t xml:space="preserve">alization </w:t>
      </w:r>
      <w:r w:rsidR="000A731A">
        <w:t xml:space="preserve">will </w:t>
      </w:r>
      <w:r w:rsidR="00AF60A6">
        <w:t xml:space="preserve">provide Psinuvia </w:t>
      </w:r>
      <w:r w:rsidR="00847BD2">
        <w:t xml:space="preserve">a high degree of </w:t>
      </w:r>
      <w:r w:rsidR="00E169DB">
        <w:t xml:space="preserve">control over the access to </w:t>
      </w:r>
      <w:r w:rsidR="00AD241D">
        <w:t xml:space="preserve">PCI-DSS </w:t>
      </w:r>
      <w:r w:rsidR="00EA02B8">
        <w:t xml:space="preserve">restricted data.  </w:t>
      </w:r>
      <w:r w:rsidR="00312EAB">
        <w:t xml:space="preserve">Identity management will be essential </w:t>
      </w:r>
      <w:r w:rsidR="0000388E">
        <w:t xml:space="preserve">with ensuring </w:t>
      </w:r>
      <w:r w:rsidR="00547E09">
        <w:t xml:space="preserve">only authorized individuals </w:t>
      </w:r>
      <w:r w:rsidR="002E5357">
        <w:t xml:space="preserve">are allowed </w:t>
      </w:r>
      <w:r w:rsidR="0036009E">
        <w:t xml:space="preserve">access. </w:t>
      </w:r>
      <w:r w:rsidR="00DF719E">
        <w:t xml:space="preserve">Use of </w:t>
      </w:r>
      <w:r w:rsidR="002E23E5">
        <w:t xml:space="preserve">MFA, proper account </w:t>
      </w:r>
      <w:r w:rsidR="00F44955">
        <w:t xml:space="preserve">lifecycle </w:t>
      </w:r>
      <w:r w:rsidR="003369C9">
        <w:t>management</w:t>
      </w:r>
      <w:r w:rsidR="004526F5">
        <w:t>,</w:t>
      </w:r>
      <w:r w:rsidR="003369C9">
        <w:t xml:space="preserve"> </w:t>
      </w:r>
      <w:r w:rsidR="00661E10">
        <w:t xml:space="preserve">and logging </w:t>
      </w:r>
      <w:r w:rsidR="00124669">
        <w:t xml:space="preserve">will be key </w:t>
      </w:r>
      <w:r w:rsidR="000058C4">
        <w:t>tools of the IT Security Department</w:t>
      </w:r>
      <w:r w:rsidR="00ED4EF4">
        <w:t xml:space="preserve">. </w:t>
      </w:r>
      <w:r w:rsidR="002F1B90">
        <w:t xml:space="preserve">These concepts will be </w:t>
      </w:r>
      <w:r w:rsidR="0093452E">
        <w:t xml:space="preserve">in use at the physical and logical </w:t>
      </w:r>
      <w:r w:rsidR="00662832">
        <w:t xml:space="preserve">areas of system, data, and network access. </w:t>
      </w:r>
      <w:r w:rsidR="00092B4A">
        <w:t xml:space="preserve">The IT Security Department will also be required to ensure that </w:t>
      </w:r>
      <w:r w:rsidR="00F90EF2">
        <w:t xml:space="preserve">logging of all </w:t>
      </w:r>
      <w:r w:rsidR="00FD51AF">
        <w:t>privileged access is</w:t>
      </w:r>
      <w:r w:rsidR="00ED620E">
        <w:t xml:space="preserve"> not </w:t>
      </w:r>
      <w:r w:rsidR="0041421E">
        <w:t>repudiable</w:t>
      </w:r>
      <w:r w:rsidR="008836AF">
        <w:t xml:space="preserve">. </w:t>
      </w:r>
      <w:r w:rsidR="0041421E">
        <w:t xml:space="preserve"> </w:t>
      </w:r>
      <w:r w:rsidR="00C40698">
        <w:t>All</w:t>
      </w:r>
      <w:r w:rsidR="00227925">
        <w:t xml:space="preserve"> logged access </w:t>
      </w:r>
      <w:r w:rsidR="00F56A8C">
        <w:t xml:space="preserve">should be retained in accordance with PCI-DSS, local, state, and federal requirements. </w:t>
      </w:r>
    </w:p>
    <w:p w14:paraId="5BCD7EAF" w14:textId="77777777" w:rsidR="003C163B" w:rsidRDefault="003C163B" w:rsidP="006E2DBE">
      <w:pPr>
        <w:sectPr w:rsidR="003C163B">
          <w:pgSz w:w="12240" w:h="15840"/>
          <w:pgMar w:top="1440" w:right="1440" w:bottom="1440" w:left="1440" w:header="720" w:footer="720" w:gutter="0"/>
          <w:cols w:space="720"/>
        </w:sectPr>
      </w:pPr>
    </w:p>
    <w:p w14:paraId="33C64118" w14:textId="3B6B0E3E" w:rsidR="003C163B" w:rsidRDefault="00C96B4F" w:rsidP="003C163B">
      <w:pPr>
        <w:pStyle w:val="Heading3"/>
        <w:rPr>
          <w:b/>
          <w:bCs/>
          <w:u w:val="single"/>
        </w:rPr>
      </w:pPr>
      <w:r>
        <w:rPr>
          <w:b/>
          <w:bCs/>
          <w:u w:val="single"/>
        </w:rPr>
        <w:lastRenderedPageBreak/>
        <w:t>Periodically Test and Monitor all Network Access Controls</w:t>
      </w:r>
    </w:p>
    <w:p w14:paraId="3291F983" w14:textId="3CC65EE9" w:rsidR="007D3BD7" w:rsidRDefault="00C96B4F" w:rsidP="007D3BD7">
      <w:r>
        <w:t>IT Security Department will develop processes and procedures to monitor all established</w:t>
      </w:r>
      <w:r w:rsidR="00C12C48">
        <w:t xml:space="preserve"> network access controls used to secure data and property.</w:t>
      </w:r>
      <w:r w:rsidR="006E5F8B">
        <w:t xml:space="preserve"> Th</w:t>
      </w:r>
      <w:r w:rsidR="0070237C">
        <w:t>e data collected by these monitors</w:t>
      </w:r>
      <w:r w:rsidR="004D3329">
        <w:t xml:space="preserve"> will need to be securely stored and secured to </w:t>
      </w:r>
      <w:r w:rsidR="00AB052E">
        <w:t>always maintain non-repudiation and availability of the data</w:t>
      </w:r>
      <w:r w:rsidR="004D3329">
        <w:t>.</w:t>
      </w:r>
      <w:r w:rsidR="00C12C48">
        <w:t xml:space="preserve"> The Compliance Department will </w:t>
      </w:r>
      <w:r w:rsidR="00D36E6D">
        <w:t>use the data collected by these processes and procedures</w:t>
      </w:r>
      <w:r w:rsidR="00C12C48">
        <w:t xml:space="preserve"> to periodically review these logs for anomalies and access violations.</w:t>
      </w:r>
      <w:r w:rsidR="00D36E6D">
        <w:t xml:space="preserve"> </w:t>
      </w:r>
      <w:r w:rsidR="00937BD2">
        <w:t xml:space="preserve">Reports will be generated from the reviews which can be used </w:t>
      </w:r>
      <w:r w:rsidR="006E5F8B">
        <w:t xml:space="preserve">to </w:t>
      </w:r>
      <w:r w:rsidR="004D3329">
        <w:t>add, remove, or change existing policies</w:t>
      </w:r>
      <w:r w:rsidR="00AB052E">
        <w:t xml:space="preserve"> and procedures, </w:t>
      </w:r>
      <w:r w:rsidR="006E5F8B">
        <w:t xml:space="preserve">develop improvements &amp; address shortcomings identified in the accumulated data. </w:t>
      </w:r>
    </w:p>
    <w:p w14:paraId="2133E970" w14:textId="5F8F2A87" w:rsidR="007D3BD7" w:rsidRDefault="007D3BD7" w:rsidP="007D3BD7"/>
    <w:p w14:paraId="125F69C4" w14:textId="3DBCF0C8" w:rsidR="007D3BD7" w:rsidRDefault="007D3BD7" w:rsidP="007D3BD7">
      <w:pPr>
        <w:pStyle w:val="Heading1"/>
        <w:jc w:val="center"/>
      </w:pPr>
      <w:r>
        <w:t>Compliance Requirements of the GDPR</w:t>
      </w:r>
    </w:p>
    <w:p w14:paraId="146DF456" w14:textId="59434C40" w:rsidR="007D3BD7" w:rsidRDefault="007D3BD7" w:rsidP="007D3BD7"/>
    <w:p w14:paraId="05D11842" w14:textId="73839016" w:rsidR="007D3BD7" w:rsidRDefault="00E8156D" w:rsidP="007D3BD7">
      <w:r>
        <w:t xml:space="preserve">Because Psinuvia does business with customers worldwide, the Compliance Department </w:t>
      </w:r>
      <w:r w:rsidR="008F3457">
        <w:t>must</w:t>
      </w:r>
      <w:r>
        <w:t xml:space="preserve"> ensure that compliance with GDPR included with the development </w:t>
      </w:r>
      <w:r w:rsidR="008F3457">
        <w:t>of the</w:t>
      </w:r>
      <w:r>
        <w:t xml:space="preserve"> policies and procedures governing the Network Access Controls</w:t>
      </w:r>
      <w:r w:rsidR="005B2ECA">
        <w:t xml:space="preserve"> of Psinuvia</w:t>
      </w:r>
      <w:r>
        <w:t xml:space="preserve">. </w:t>
      </w:r>
      <w:r w:rsidR="009610E2">
        <w:t xml:space="preserve">GDPR protects the data of the EU citizens regardless of where the data is being processed. </w:t>
      </w:r>
      <w:sdt>
        <w:sdtPr>
          <w:id w:val="1471252372"/>
          <w:citation/>
        </w:sdtPr>
        <w:sdtContent>
          <w:r w:rsidR="008F3457">
            <w:fldChar w:fldCharType="begin"/>
          </w:r>
          <w:r w:rsidR="008F3457">
            <w:instrText xml:space="preserve">CITATION THE16 \p 32-33 \l 1033 </w:instrText>
          </w:r>
          <w:r w:rsidR="008F3457">
            <w:fldChar w:fldCharType="separate"/>
          </w:r>
          <w:r w:rsidR="008F3457">
            <w:rPr>
              <w:noProof/>
            </w:rPr>
            <w:t>(THE EUROPEAN PARLIAMENT AND THE COUNCIL OF THE EUROPEAN UNION, 2016, pp. 32-33)</w:t>
          </w:r>
          <w:r w:rsidR="008F3457">
            <w:fldChar w:fldCharType="end"/>
          </w:r>
        </w:sdtContent>
      </w:sdt>
      <w:r w:rsidR="008F3457">
        <w:t xml:space="preserve">. </w:t>
      </w:r>
      <w:r w:rsidR="00D20AC7">
        <w:t xml:space="preserve"> </w:t>
      </w:r>
      <w:r w:rsidR="006C6EC6">
        <w:t>The following are a few of the</w:t>
      </w:r>
      <w:r w:rsidR="00D20AC7">
        <w:t xml:space="preserve"> GDPR requirements surrounding “Lawful basis and transparency, Data Security, Accountability &amp; </w:t>
      </w:r>
      <w:r w:rsidR="00E86B1F">
        <w:t>Governance, and</w:t>
      </w:r>
      <w:r w:rsidR="00D20AC7">
        <w:t xml:space="preserve"> Privacy Rights of EU Citizens </w:t>
      </w:r>
      <w:sdt>
        <w:sdtPr>
          <w:id w:val="-620767527"/>
          <w:citation/>
        </w:sdtPr>
        <w:sdtContent>
          <w:r w:rsidR="00D20AC7">
            <w:fldChar w:fldCharType="begin"/>
          </w:r>
          <w:r w:rsidR="00D20AC7">
            <w:instrText xml:space="preserve"> CITATION Eur22 \l 1033 </w:instrText>
          </w:r>
          <w:r w:rsidR="00D20AC7">
            <w:fldChar w:fldCharType="separate"/>
          </w:r>
          <w:r w:rsidR="00D20AC7">
            <w:rPr>
              <w:noProof/>
            </w:rPr>
            <w:t>(European Union, 2022)</w:t>
          </w:r>
          <w:r w:rsidR="00D20AC7">
            <w:fldChar w:fldCharType="end"/>
          </w:r>
        </w:sdtContent>
      </w:sdt>
      <w:r w:rsidR="006C6EC6">
        <w:t xml:space="preserve"> that should be included in Psinuvia, Inc security goals.</w:t>
      </w:r>
    </w:p>
    <w:p w14:paraId="37A7739C" w14:textId="00834F40" w:rsidR="00E86B1F" w:rsidRDefault="00E86B1F" w:rsidP="00E86B1F">
      <w:pPr>
        <w:pStyle w:val="Heading3"/>
        <w:rPr>
          <w:b/>
          <w:bCs/>
          <w:u w:val="single"/>
        </w:rPr>
      </w:pPr>
      <w:r w:rsidRPr="00E86B1F">
        <w:rPr>
          <w:b/>
          <w:bCs/>
          <w:u w:val="single"/>
        </w:rPr>
        <w:t>Lawful basis and transparency</w:t>
      </w:r>
    </w:p>
    <w:p w14:paraId="4883F7BB" w14:textId="04D4BA9C" w:rsidR="00E86B1F" w:rsidRDefault="00E86B1F" w:rsidP="00E86B1F">
      <w:r>
        <w:t xml:space="preserve">GDPR requires organizations wishing to process its citizens data </w:t>
      </w:r>
      <w:r w:rsidR="006711DC">
        <w:t>to have a “need to process” or handle said data.  Psinuvia Compliance Department will need to ensure that the organization can justify its need</w:t>
      </w:r>
      <w:r w:rsidR="004C6654">
        <w:t xml:space="preserve"> to process the data by meeting at least one of the conditions in Article 6 of the GDPR</w:t>
      </w:r>
      <w:r w:rsidR="009D7AE3">
        <w:t>.</w:t>
      </w:r>
      <w:r w:rsidR="004C6654">
        <w:t xml:space="preserve"> </w:t>
      </w:r>
      <w:sdt>
        <w:sdtPr>
          <w:id w:val="649173626"/>
          <w:citation/>
        </w:sdtPr>
        <w:sdtContent>
          <w:r w:rsidR="004C6654">
            <w:fldChar w:fldCharType="begin"/>
          </w:r>
          <w:r w:rsidR="004C6654">
            <w:instrText xml:space="preserve"> CITATION GDP22 \l 1033 </w:instrText>
          </w:r>
          <w:r w:rsidR="004C6654">
            <w:fldChar w:fldCharType="separate"/>
          </w:r>
          <w:r w:rsidR="004C6654">
            <w:rPr>
              <w:noProof/>
            </w:rPr>
            <w:t>(GDPR, 2022)</w:t>
          </w:r>
          <w:r w:rsidR="004C6654">
            <w:fldChar w:fldCharType="end"/>
          </w:r>
        </w:sdtContent>
      </w:sdt>
      <w:r w:rsidR="009D7AE3">
        <w:t xml:space="preserve"> This justification should state the purposes for which processing the data is used, an indication of the type of data to be processed, how the data will be protected, how and when the data will be disposed of, and lastly, who will have access to the data.  GDPR Article 12</w:t>
      </w:r>
      <w:sdt>
        <w:sdtPr>
          <w:id w:val="193278531"/>
          <w:citation/>
        </w:sdtPr>
        <w:sdtContent>
          <w:r w:rsidR="00A50FAC">
            <w:fldChar w:fldCharType="begin"/>
          </w:r>
          <w:r w:rsidR="00A50FAC">
            <w:instrText xml:space="preserve"> CITATION GDP221 \l 1033 </w:instrText>
          </w:r>
          <w:r w:rsidR="00A50FAC">
            <w:fldChar w:fldCharType="separate"/>
          </w:r>
          <w:r w:rsidR="00A50FAC">
            <w:rPr>
              <w:noProof/>
            </w:rPr>
            <w:t xml:space="preserve"> (GDPR, 2022)</w:t>
          </w:r>
          <w:r w:rsidR="00A50FAC">
            <w:fldChar w:fldCharType="end"/>
          </w:r>
        </w:sdtContent>
      </w:sdt>
      <w:r w:rsidR="009D7AE3">
        <w:t xml:space="preserve"> requires that the Compliance Department </w:t>
      </w:r>
      <w:r w:rsidR="00A50FAC">
        <w:t xml:space="preserve">ensures that Psinuvia discloses to each of its European customers the same information used to justify processing of the data in a clear and concise manner at the time the citizens information is collected. </w:t>
      </w:r>
    </w:p>
    <w:p w14:paraId="7007B31C" w14:textId="37AAF9CA" w:rsidR="00C81DCA" w:rsidRPr="00C81DCA" w:rsidRDefault="00C81DCA" w:rsidP="00C81DCA">
      <w:pPr>
        <w:pStyle w:val="Heading3"/>
        <w:rPr>
          <w:b/>
          <w:bCs/>
          <w:u w:val="single"/>
        </w:rPr>
      </w:pPr>
      <w:r w:rsidRPr="00C81DCA">
        <w:rPr>
          <w:b/>
          <w:bCs/>
          <w:u w:val="single"/>
        </w:rPr>
        <w:t>Data Security</w:t>
      </w:r>
    </w:p>
    <w:p w14:paraId="62C619C2" w14:textId="734E9438" w:rsidR="00A50FAC" w:rsidRDefault="00876EA3" w:rsidP="00E86B1F">
      <w:r>
        <w:t>“</w:t>
      </w:r>
      <w:r w:rsidR="00C81DCA">
        <w:t>Article 5</w:t>
      </w:r>
      <w:r>
        <w:t>”</w:t>
      </w:r>
      <w:r w:rsidR="00A674E5">
        <w:t xml:space="preserve"> </w:t>
      </w:r>
      <w:sdt>
        <w:sdtPr>
          <w:id w:val="252633941"/>
          <w:citation/>
        </w:sdtPr>
        <w:sdtContent>
          <w:r w:rsidR="00A674E5">
            <w:fldChar w:fldCharType="begin"/>
          </w:r>
          <w:r w:rsidR="00A674E5">
            <w:instrText xml:space="preserve"> CITATION GDP222 \l 1033 </w:instrText>
          </w:r>
          <w:r w:rsidR="00A674E5">
            <w:fldChar w:fldCharType="separate"/>
          </w:r>
          <w:r w:rsidR="00A674E5">
            <w:rPr>
              <w:noProof/>
            </w:rPr>
            <w:t>(GDPR, 2022)</w:t>
          </w:r>
          <w:r w:rsidR="00A674E5">
            <w:fldChar w:fldCharType="end"/>
          </w:r>
        </w:sdtContent>
      </w:sdt>
      <w:r w:rsidR="00C81DCA">
        <w:t xml:space="preserve"> of the GDPR outlines the protections needed on the data being processed. IT Security Department will </w:t>
      </w:r>
      <w:r w:rsidR="006C6EC6">
        <w:t xml:space="preserve">need to </w:t>
      </w:r>
      <w:r w:rsidR="00C81DCA">
        <w:t xml:space="preserve">work with the Compliance Department to ensure that the appropriate measures are taken to secure, dispose of, and reduce the amount of data used to be processed. These policies and procedures should reside in Psinuvia’s </w:t>
      </w:r>
      <w:r>
        <w:t>Security Policy that is required acknowledgement by all employees. The IT security Department, at the direction of the Compliance Department, should conduct “data protection impact assessment</w:t>
      </w:r>
      <w:r w:rsidR="005B2ECA">
        <w:t>s</w:t>
      </w:r>
      <w:r>
        <w:t>”</w:t>
      </w:r>
      <w:r w:rsidR="00A674E5">
        <w:t xml:space="preserve"> </w:t>
      </w:r>
      <w:sdt>
        <w:sdtPr>
          <w:id w:val="-478915083"/>
          <w:citation/>
        </w:sdtPr>
        <w:sdtContent>
          <w:r w:rsidR="00A674E5">
            <w:fldChar w:fldCharType="begin"/>
          </w:r>
          <w:r w:rsidR="00A674E5">
            <w:instrText xml:space="preserve"> CITATION GDP223 \l 1033 </w:instrText>
          </w:r>
          <w:r w:rsidR="00A674E5">
            <w:fldChar w:fldCharType="separate"/>
          </w:r>
          <w:r w:rsidR="00A674E5">
            <w:rPr>
              <w:noProof/>
            </w:rPr>
            <w:t>(GDPR, 2022)</w:t>
          </w:r>
          <w:r w:rsidR="00A674E5">
            <w:fldChar w:fldCharType="end"/>
          </w:r>
        </w:sdtContent>
      </w:sdt>
      <w:r>
        <w:t xml:space="preserve"> periodically to ensure that Psinuvia has minimized risks to GDPR protected data. Both the IT Security and Compliance Departments </w:t>
      </w:r>
      <w:r w:rsidR="005B2ECA">
        <w:t xml:space="preserve">must </w:t>
      </w:r>
      <w:r>
        <w:t xml:space="preserve">understand the importance of reporting any suspected </w:t>
      </w:r>
      <w:r w:rsidR="00A674E5">
        <w:t xml:space="preserve">data breach of GDPR data to the data subjects of the affected data. </w:t>
      </w:r>
    </w:p>
    <w:p w14:paraId="2F8C9E2B" w14:textId="77777777" w:rsidR="006C6EC6" w:rsidRDefault="006C6EC6" w:rsidP="00E86B1F">
      <w:pPr>
        <w:sectPr w:rsidR="006C6EC6">
          <w:pgSz w:w="12240" w:h="15840"/>
          <w:pgMar w:top="1440" w:right="1440" w:bottom="1440" w:left="1440" w:header="720" w:footer="720" w:gutter="0"/>
          <w:cols w:space="720"/>
        </w:sectPr>
      </w:pPr>
    </w:p>
    <w:p w14:paraId="1B192AD3" w14:textId="06E60E66" w:rsidR="006C6EC6" w:rsidRDefault="006C6EC6" w:rsidP="006C6EC6">
      <w:pPr>
        <w:pStyle w:val="Heading1"/>
        <w:jc w:val="center"/>
      </w:pPr>
      <w:r>
        <w:lastRenderedPageBreak/>
        <w:t>HIP</w:t>
      </w:r>
      <w:r w:rsidR="00D76FD4">
        <w:t>A</w:t>
      </w:r>
      <w:r>
        <w:t>A Compliance</w:t>
      </w:r>
    </w:p>
    <w:p w14:paraId="42C323EA" w14:textId="77777777" w:rsidR="000660B9" w:rsidRPr="000660B9" w:rsidRDefault="000660B9" w:rsidP="000660B9"/>
    <w:p w14:paraId="2E390F79" w14:textId="571D6EA8" w:rsidR="003844F1" w:rsidRDefault="0032087A" w:rsidP="003844F1">
      <w:r>
        <w:t>Due to the products that Psinuvia manufactures and the protected health information (PHI) that is collected, stored, and transmitted</w:t>
      </w:r>
      <w:r w:rsidR="006927D0">
        <w:t xml:space="preserve"> by them</w:t>
      </w:r>
      <w:r>
        <w:t xml:space="preserve">, the Compliance </w:t>
      </w:r>
      <w:r w:rsidR="00D76FD4">
        <w:t>Department in coordination with the IT Security Department must incorporate</w:t>
      </w:r>
      <w:r w:rsidR="006927D0">
        <w:t xml:space="preserve">, </w:t>
      </w:r>
      <w:r w:rsidR="00D76FD4">
        <w:t>document</w:t>
      </w:r>
      <w:r w:rsidR="006927D0">
        <w:t>, and maintain</w:t>
      </w:r>
      <w:r w:rsidR="00D76FD4">
        <w:t xml:space="preserve"> </w:t>
      </w:r>
      <w:r w:rsidR="006927D0">
        <w:t xml:space="preserve">security </w:t>
      </w:r>
      <w:r w:rsidR="00D76FD4">
        <w:t xml:space="preserve">controls to meet the </w:t>
      </w:r>
      <w:r w:rsidR="006927D0">
        <w:t xml:space="preserve">requirements set forth int the </w:t>
      </w:r>
      <w:r w:rsidR="00D76FD4">
        <w:t>Health Insurance Portability and Accountability Act of 1996 (HIPAA).</w:t>
      </w:r>
      <w:r w:rsidR="005E36C4">
        <w:t xml:space="preserve"> </w:t>
      </w:r>
      <w:r w:rsidR="006927D0">
        <w:t xml:space="preserve">Currently, Psinuvia has no documented policy and procedures to address this federal regulation. </w:t>
      </w:r>
      <w:r w:rsidR="00C0470A">
        <w:t xml:space="preserve">The four areas of focus for </w:t>
      </w:r>
      <w:r w:rsidR="00AE78D3">
        <w:t xml:space="preserve">compliance with </w:t>
      </w:r>
      <w:r w:rsidR="00C0470A">
        <w:t>HIPAA are Privacy, Security, Breach Notification, and Compliance &amp; Enforcement</w:t>
      </w:r>
      <w:r w:rsidR="00AE78D3">
        <w:t xml:space="preserve"> </w:t>
      </w:r>
      <w:sdt>
        <w:sdtPr>
          <w:id w:val="1081722112"/>
          <w:citation/>
        </w:sdtPr>
        <w:sdtContent>
          <w:r w:rsidR="00AE78D3">
            <w:fldChar w:fldCharType="begin"/>
          </w:r>
          <w:r w:rsidR="00AE78D3">
            <w:instrText xml:space="preserve"> CITATION Off221 \l 1033 </w:instrText>
          </w:r>
          <w:r w:rsidR="00AE78D3">
            <w:fldChar w:fldCharType="separate"/>
          </w:r>
          <w:r w:rsidR="00AE78D3">
            <w:rPr>
              <w:noProof/>
            </w:rPr>
            <w:t>(Office for Civil Rights (OCR), 2022)</w:t>
          </w:r>
          <w:r w:rsidR="00AE78D3">
            <w:fldChar w:fldCharType="end"/>
          </w:r>
        </w:sdtContent>
      </w:sdt>
      <w:r w:rsidR="001D0A59">
        <w:t xml:space="preserve">. </w:t>
      </w:r>
    </w:p>
    <w:p w14:paraId="1F2B0244" w14:textId="28711FAC" w:rsidR="003844F1" w:rsidRDefault="003844F1" w:rsidP="003844F1">
      <w:pPr>
        <w:pStyle w:val="Heading3"/>
        <w:rPr>
          <w:b/>
          <w:bCs/>
          <w:u w:val="single"/>
        </w:rPr>
      </w:pPr>
      <w:r w:rsidRPr="003844F1">
        <w:rPr>
          <w:b/>
          <w:bCs/>
          <w:u w:val="single"/>
        </w:rPr>
        <w:t>Privacy</w:t>
      </w:r>
    </w:p>
    <w:p w14:paraId="16D8E1E7" w14:textId="276C01CC" w:rsidR="00EF2D33" w:rsidRDefault="00EF2D33" w:rsidP="00EF2D33">
      <w:r>
        <w:t>HIPAA Privacy Rule specifies what information and persons are protected under the rule as well as how the PHI data can be used or disclosed. Those who are included within the scope of the rule are Hea</w:t>
      </w:r>
      <w:r w:rsidR="00EF6BC7">
        <w:t xml:space="preserve">lth Care Providers, Clearinghouses, some Plans and any Business that handles or transmits PHI. PHI is defined by the Privacy Rule as “any identifying </w:t>
      </w:r>
      <w:r w:rsidR="00D62965">
        <w:t xml:space="preserve">health </w:t>
      </w:r>
      <w:r w:rsidR="00EF6BC7">
        <w:t>information</w:t>
      </w:r>
      <w:r w:rsidR="00D62965">
        <w:t xml:space="preserve"> held or transmitted by a covered entity”</w:t>
      </w:r>
      <w:sdt>
        <w:sdtPr>
          <w:id w:val="-1982227575"/>
          <w:citation/>
        </w:sdtPr>
        <w:sdtContent>
          <w:r w:rsidR="00D62965">
            <w:fldChar w:fldCharType="begin"/>
          </w:r>
          <w:r w:rsidR="00D62965">
            <w:instrText xml:space="preserve"> CITATION Off22 \l 1033 </w:instrText>
          </w:r>
          <w:r w:rsidR="00D62965">
            <w:fldChar w:fldCharType="separate"/>
          </w:r>
          <w:r w:rsidR="00D62965">
            <w:rPr>
              <w:noProof/>
            </w:rPr>
            <w:t xml:space="preserve"> (Office for Civil Rights (OCR), 2022)</w:t>
          </w:r>
          <w:r w:rsidR="00D62965">
            <w:fldChar w:fldCharType="end"/>
          </w:r>
        </w:sdtContent>
      </w:sdt>
      <w:r w:rsidR="00D62965">
        <w:t xml:space="preserve">. The Privacy rule also specifies permitted, authorized uses and disclosures of PHI. </w:t>
      </w:r>
      <w:r w:rsidR="00FB434B">
        <w:t>Psinuvia’s Compliance Department will need to ensure that security polic</w:t>
      </w:r>
      <w:r w:rsidR="003F0990">
        <w:t>ies and standards are</w:t>
      </w:r>
      <w:r w:rsidR="00FB434B">
        <w:t xml:space="preserve"> written to address the requirements of the Privacy Rule and the IT Security Department will </w:t>
      </w:r>
      <w:r w:rsidR="003F0990">
        <w:t>be required to implement controls, policies and procedures to meet the standards set by the compliance department</w:t>
      </w:r>
      <w:r w:rsidR="00586AE2">
        <w:t xml:space="preserve">. </w:t>
      </w:r>
    </w:p>
    <w:p w14:paraId="758DA9ED" w14:textId="1CC1C04F" w:rsidR="00586AE2" w:rsidRDefault="00586AE2" w:rsidP="00586AE2">
      <w:pPr>
        <w:pStyle w:val="Heading3"/>
        <w:rPr>
          <w:b/>
          <w:bCs/>
          <w:u w:val="single"/>
        </w:rPr>
      </w:pPr>
      <w:r w:rsidRPr="00586AE2">
        <w:rPr>
          <w:b/>
          <w:bCs/>
          <w:u w:val="single"/>
        </w:rPr>
        <w:t>Security</w:t>
      </w:r>
    </w:p>
    <w:p w14:paraId="4FFB5BD2" w14:textId="066D62A2" w:rsidR="00586AE2" w:rsidRDefault="0063701D" w:rsidP="00586AE2">
      <w:r>
        <w:t xml:space="preserve">The HIPAA Security rule was established to provide protection to a person’s electronic PHI that is </w:t>
      </w:r>
      <w:r w:rsidR="000A263E">
        <w:t>generated or</w:t>
      </w:r>
      <w:r>
        <w:t xml:space="preserve"> maintained by any entity covered by HIPAA.</w:t>
      </w:r>
      <w:r w:rsidR="000A263E">
        <w:t xml:space="preserve"> The security rule mandates that administrative, physical, and technical measures are implemented to enforce confidentiality, integrity, and security of PHI. The compliance department</w:t>
      </w:r>
      <w:r w:rsidR="001E6357">
        <w:t xml:space="preserve"> should ensure that during its risk assessment of Psinuvia, it includes the use of </w:t>
      </w:r>
      <w:r w:rsidR="000A728B">
        <w:t xml:space="preserve">tools like </w:t>
      </w:r>
      <w:r w:rsidR="001E6357">
        <w:t>the “HH</w:t>
      </w:r>
      <w:r w:rsidR="000A728B">
        <w:t>S</w:t>
      </w:r>
      <w:r w:rsidR="001E6357">
        <w:t xml:space="preserve"> Security Risk Assessment Tool”</w:t>
      </w:r>
      <w:r w:rsidR="000A728B">
        <w:t xml:space="preserve"> </w:t>
      </w:r>
      <w:sdt>
        <w:sdtPr>
          <w:id w:val="-2127764358"/>
          <w:citation/>
        </w:sdtPr>
        <w:sdtContent>
          <w:r w:rsidR="000A728B">
            <w:fldChar w:fldCharType="begin"/>
          </w:r>
          <w:r w:rsidR="000A728B">
            <w:instrText xml:space="preserve"> CITATION Off222 \l 1033 </w:instrText>
          </w:r>
          <w:r w:rsidR="000A728B">
            <w:fldChar w:fldCharType="separate"/>
          </w:r>
          <w:r w:rsidR="000A728B">
            <w:rPr>
              <w:noProof/>
            </w:rPr>
            <w:t>(Office of the National Coordinator for Health Information Technology (ONC), 2022)</w:t>
          </w:r>
          <w:r w:rsidR="000A728B">
            <w:fldChar w:fldCharType="end"/>
          </w:r>
        </w:sdtContent>
      </w:sdt>
      <w:r w:rsidR="001E6357">
        <w:t xml:space="preserve"> and the “NIST HIPAA Security Rule </w:t>
      </w:r>
      <w:proofErr w:type="spellStart"/>
      <w:r w:rsidR="001E6357">
        <w:t>ToolKit</w:t>
      </w:r>
      <w:proofErr w:type="spellEnd"/>
      <w:r w:rsidR="001E6357">
        <w:t>”</w:t>
      </w:r>
      <w:r w:rsidR="000A728B">
        <w:t xml:space="preserve"> </w:t>
      </w:r>
      <w:sdt>
        <w:sdtPr>
          <w:id w:val="-1590691959"/>
          <w:citation/>
        </w:sdtPr>
        <w:sdtContent>
          <w:r w:rsidR="000A728B">
            <w:fldChar w:fldCharType="begin"/>
          </w:r>
          <w:r w:rsidR="000A728B">
            <w:instrText xml:space="preserve"> CITATION NIS22 \l 1033 </w:instrText>
          </w:r>
          <w:r w:rsidR="000A728B">
            <w:fldChar w:fldCharType="separate"/>
          </w:r>
          <w:r w:rsidR="000A728B">
            <w:rPr>
              <w:noProof/>
            </w:rPr>
            <w:t>(NIST, 2022)</w:t>
          </w:r>
          <w:r w:rsidR="000A728B">
            <w:fldChar w:fldCharType="end"/>
          </w:r>
        </w:sdtContent>
      </w:sdt>
      <w:r w:rsidR="000A728B">
        <w:t xml:space="preserve">. The IT Security </w:t>
      </w:r>
      <w:r w:rsidR="009D612C">
        <w:t xml:space="preserve">Department should implement, adjust, and remediate network and physical access controls based on the results of the risk assessments. </w:t>
      </w:r>
    </w:p>
    <w:p w14:paraId="0710651F" w14:textId="0C3B9CB0" w:rsidR="009D612C" w:rsidRDefault="00C7340E" w:rsidP="00C7340E">
      <w:pPr>
        <w:pStyle w:val="Heading3"/>
        <w:rPr>
          <w:b/>
          <w:bCs/>
          <w:u w:val="single"/>
        </w:rPr>
      </w:pPr>
      <w:r w:rsidRPr="00C7340E">
        <w:rPr>
          <w:b/>
          <w:bCs/>
          <w:u w:val="single"/>
        </w:rPr>
        <w:t>Breach Notification</w:t>
      </w:r>
    </w:p>
    <w:p w14:paraId="65F6BA64" w14:textId="22239E30" w:rsidR="00C7340E" w:rsidRDefault="00C7340E" w:rsidP="00C7340E">
      <w:r>
        <w:t xml:space="preserve">The HIPAA Breach Notification Rule requires all HIPAA covered entities to provide prompt and detailed notification to </w:t>
      </w:r>
      <w:r w:rsidR="005B2ECA">
        <w:t>the affected data subjects, the Secretary of HHS, and if warranted local, and regional media outlets</w:t>
      </w:r>
      <w:sdt>
        <w:sdtPr>
          <w:id w:val="781764285"/>
          <w:citation/>
        </w:sdtPr>
        <w:sdtContent>
          <w:r w:rsidR="002A3E29">
            <w:fldChar w:fldCharType="begin"/>
          </w:r>
          <w:r w:rsidR="002A3E29">
            <w:instrText xml:space="preserve">CITATION USD \l 1033 </w:instrText>
          </w:r>
          <w:r w:rsidR="002A3E29">
            <w:fldChar w:fldCharType="separate"/>
          </w:r>
          <w:r w:rsidR="002A3E29">
            <w:rPr>
              <w:noProof/>
            </w:rPr>
            <w:t xml:space="preserve"> (Office for Civil Rights (OCR), 2022)</w:t>
          </w:r>
          <w:r w:rsidR="002A3E29">
            <w:fldChar w:fldCharType="end"/>
          </w:r>
        </w:sdtContent>
      </w:sdt>
      <w:r w:rsidR="005B2ECA">
        <w:t xml:space="preserve">. </w:t>
      </w:r>
      <w:r w:rsidR="00590A67">
        <w:t xml:space="preserve"> This notification should include a brief description of the breach, type of information that was disseminated, steps that the data subject can </w:t>
      </w:r>
      <w:r w:rsidR="00F809FA">
        <w:t xml:space="preserve">do </w:t>
      </w:r>
      <w:r w:rsidR="00590A67">
        <w:t>to mitigate the damage to themselves, and an explanation of what the covered entity is doing to investigate</w:t>
      </w:r>
      <w:r w:rsidR="00F809FA">
        <w:t xml:space="preserve"> the breach, </w:t>
      </w:r>
      <w:r w:rsidR="00590A67">
        <w:t xml:space="preserve">mitigate </w:t>
      </w:r>
      <w:r w:rsidR="00F809FA">
        <w:t xml:space="preserve">the damage caused by and prevent future occurrences of the breach. The Compliance Department will include </w:t>
      </w:r>
      <w:r w:rsidR="00EA08A4">
        <w:t xml:space="preserve">an Incident Response procedure </w:t>
      </w:r>
      <w:r w:rsidR="00F809FA">
        <w:t xml:space="preserve">in the security policy, </w:t>
      </w:r>
      <w:r w:rsidR="00EA08A4">
        <w:t xml:space="preserve">which will </w:t>
      </w:r>
      <w:r w:rsidR="00F809FA">
        <w:t xml:space="preserve">be used to provide guidance on how to report a breach internally as well </w:t>
      </w:r>
      <w:r w:rsidR="00EA08A4">
        <w:t>govern how and when</w:t>
      </w:r>
      <w:r w:rsidR="00F809FA">
        <w:t xml:space="preserve"> the Compliance Department </w:t>
      </w:r>
      <w:r w:rsidR="00EA08A4">
        <w:t>reports a breach</w:t>
      </w:r>
      <w:r w:rsidR="002A3E29">
        <w:t>.</w:t>
      </w:r>
      <w:r w:rsidR="00F809FA">
        <w:t xml:space="preserve"> </w:t>
      </w:r>
    </w:p>
    <w:p w14:paraId="4B7857CD" w14:textId="77777777" w:rsidR="007B255E" w:rsidRDefault="007B255E" w:rsidP="00C7340E"/>
    <w:p w14:paraId="087BB879" w14:textId="718BC2C7" w:rsidR="006B30E2" w:rsidRPr="006B30E2" w:rsidRDefault="006B30E2" w:rsidP="006B30E2">
      <w:pPr>
        <w:pStyle w:val="Heading3"/>
        <w:rPr>
          <w:b/>
          <w:bCs/>
          <w:u w:val="single"/>
        </w:rPr>
      </w:pPr>
      <w:r w:rsidRPr="006B30E2">
        <w:rPr>
          <w:b/>
          <w:bCs/>
          <w:u w:val="single"/>
        </w:rPr>
        <w:lastRenderedPageBreak/>
        <w:t>Compliance and Enforcement</w:t>
      </w:r>
    </w:p>
    <w:p w14:paraId="24C9735D" w14:textId="734D1BCD" w:rsidR="00222F2F" w:rsidRDefault="006B30E2" w:rsidP="00C7340E">
      <w:r>
        <w:t xml:space="preserve">The Office of Civil Rights (OCR) in HHS is responsible for enforcing </w:t>
      </w:r>
      <w:r w:rsidR="003A75A2">
        <w:t xml:space="preserve">and imposing civil money penalties for each violation of HIPAA.  The OCR </w:t>
      </w:r>
      <w:r w:rsidR="00EA08A4">
        <w:t xml:space="preserve">also has the authority to submit complaints deemed criminal to the Department of Justice for federal prosecution. The Compliance Department should review </w:t>
      </w:r>
      <w:r w:rsidR="00222F2F">
        <w:t>45 CFR Part 160 –General Administrative Requirements which outlines the penalties that are incurred for each reported incident. As of the writing of this report, fines are as follows:</w:t>
      </w:r>
    </w:p>
    <w:p w14:paraId="70307B4F" w14:textId="77777777" w:rsidR="007B255E" w:rsidRDefault="007B255E" w:rsidP="00C7340E"/>
    <w:tbl>
      <w:tblPr>
        <w:tblStyle w:val="TableGrid"/>
        <w:tblW w:w="0" w:type="auto"/>
        <w:tblLook w:val="04A0" w:firstRow="1" w:lastRow="0" w:firstColumn="1" w:lastColumn="0" w:noHBand="0" w:noVBand="1"/>
      </w:tblPr>
      <w:tblGrid>
        <w:gridCol w:w="3055"/>
        <w:gridCol w:w="2520"/>
        <w:gridCol w:w="2430"/>
        <w:gridCol w:w="1345"/>
      </w:tblGrid>
      <w:tr w:rsidR="00222F2F" w14:paraId="24289C4B" w14:textId="77777777" w:rsidTr="00914DF2">
        <w:tc>
          <w:tcPr>
            <w:tcW w:w="3055" w:type="dxa"/>
          </w:tcPr>
          <w:p w14:paraId="19289152" w14:textId="6722B83F" w:rsidR="00222F2F" w:rsidRPr="00045DDB" w:rsidRDefault="00222F2F" w:rsidP="00C7340E">
            <w:pPr>
              <w:rPr>
                <w:b/>
                <w:bCs/>
                <w:u w:val="single"/>
              </w:rPr>
            </w:pPr>
            <w:r w:rsidRPr="00045DDB">
              <w:rPr>
                <w:b/>
                <w:bCs/>
                <w:u w:val="single"/>
              </w:rPr>
              <w:t>Neglect Level</w:t>
            </w:r>
          </w:p>
        </w:tc>
        <w:tc>
          <w:tcPr>
            <w:tcW w:w="2520" w:type="dxa"/>
          </w:tcPr>
          <w:p w14:paraId="445BA94A" w14:textId="349FE803" w:rsidR="00222F2F" w:rsidRPr="00045DDB" w:rsidRDefault="00222F2F" w:rsidP="00C7340E">
            <w:pPr>
              <w:rPr>
                <w:b/>
                <w:bCs/>
                <w:u w:val="single"/>
              </w:rPr>
            </w:pPr>
            <w:r w:rsidRPr="00045DDB">
              <w:rPr>
                <w:b/>
                <w:bCs/>
                <w:u w:val="single"/>
              </w:rPr>
              <w:t>Min. Fine per violation</w:t>
            </w:r>
          </w:p>
        </w:tc>
        <w:tc>
          <w:tcPr>
            <w:tcW w:w="2430" w:type="dxa"/>
          </w:tcPr>
          <w:p w14:paraId="0B7A660F" w14:textId="38AF44A8" w:rsidR="00222F2F" w:rsidRPr="00045DDB" w:rsidRDefault="00222F2F" w:rsidP="00C7340E">
            <w:pPr>
              <w:rPr>
                <w:b/>
                <w:bCs/>
                <w:u w:val="single"/>
              </w:rPr>
            </w:pPr>
            <w:r w:rsidRPr="00045DDB">
              <w:rPr>
                <w:b/>
                <w:bCs/>
                <w:u w:val="single"/>
              </w:rPr>
              <w:t>Max Fine per violation</w:t>
            </w:r>
          </w:p>
        </w:tc>
        <w:tc>
          <w:tcPr>
            <w:tcW w:w="1345" w:type="dxa"/>
          </w:tcPr>
          <w:p w14:paraId="71AA0FAF" w14:textId="2A4E7BCF" w:rsidR="00222F2F" w:rsidRPr="00045DDB" w:rsidRDefault="00222F2F" w:rsidP="00C7340E">
            <w:pPr>
              <w:rPr>
                <w:b/>
                <w:bCs/>
                <w:u w:val="single"/>
              </w:rPr>
            </w:pPr>
            <w:r w:rsidRPr="00045DDB">
              <w:rPr>
                <w:b/>
                <w:bCs/>
                <w:u w:val="single"/>
              </w:rPr>
              <w:t>Annual Cap</w:t>
            </w:r>
          </w:p>
        </w:tc>
      </w:tr>
      <w:tr w:rsidR="00222F2F" w14:paraId="7AE7652F" w14:textId="77777777" w:rsidTr="00914DF2">
        <w:tc>
          <w:tcPr>
            <w:tcW w:w="3055" w:type="dxa"/>
          </w:tcPr>
          <w:p w14:paraId="4500BC7E" w14:textId="409E0BCB" w:rsidR="00222F2F" w:rsidRDefault="00045DDB" w:rsidP="00C7340E">
            <w:r>
              <w:t>Low (160.404.b.2.i)</w:t>
            </w:r>
          </w:p>
        </w:tc>
        <w:tc>
          <w:tcPr>
            <w:tcW w:w="2520" w:type="dxa"/>
          </w:tcPr>
          <w:p w14:paraId="484C000B" w14:textId="63E08FF4" w:rsidR="00222F2F" w:rsidRDefault="00045DDB" w:rsidP="00C7340E">
            <w:r>
              <w:t>$100</w:t>
            </w:r>
          </w:p>
        </w:tc>
        <w:tc>
          <w:tcPr>
            <w:tcW w:w="2430" w:type="dxa"/>
          </w:tcPr>
          <w:p w14:paraId="26AA90C5" w14:textId="52C620E0" w:rsidR="00222F2F" w:rsidRDefault="00045DDB" w:rsidP="00C7340E">
            <w:r>
              <w:t>$50,000</w:t>
            </w:r>
          </w:p>
        </w:tc>
        <w:tc>
          <w:tcPr>
            <w:tcW w:w="1345" w:type="dxa"/>
          </w:tcPr>
          <w:p w14:paraId="7880A92F" w14:textId="657BBFF3" w:rsidR="00045DDB" w:rsidRDefault="00045DDB" w:rsidP="00C7340E">
            <w:r>
              <w:t>$1,500,000</w:t>
            </w:r>
          </w:p>
        </w:tc>
      </w:tr>
      <w:tr w:rsidR="00222F2F" w14:paraId="2223843B" w14:textId="77777777" w:rsidTr="00914DF2">
        <w:tc>
          <w:tcPr>
            <w:tcW w:w="3055" w:type="dxa"/>
          </w:tcPr>
          <w:p w14:paraId="1A21B8AF" w14:textId="1A6DC31C" w:rsidR="00222F2F" w:rsidRDefault="00045DDB" w:rsidP="00C7340E">
            <w:r>
              <w:t>Medium</w:t>
            </w:r>
            <w:r w:rsidR="00914DF2">
              <w:t xml:space="preserve"> (</w:t>
            </w:r>
            <w:r w:rsidR="00914DF2">
              <w:t>160.404.b.2.i</w:t>
            </w:r>
            <w:r w:rsidR="00914DF2">
              <w:t>i</w:t>
            </w:r>
            <w:r w:rsidR="00914DF2">
              <w:t>)</w:t>
            </w:r>
          </w:p>
        </w:tc>
        <w:tc>
          <w:tcPr>
            <w:tcW w:w="2520" w:type="dxa"/>
          </w:tcPr>
          <w:p w14:paraId="1AB6C7C0" w14:textId="589EFCD7" w:rsidR="00222F2F" w:rsidRDefault="00045DDB" w:rsidP="00C7340E">
            <w:r>
              <w:t>$1,000</w:t>
            </w:r>
          </w:p>
        </w:tc>
        <w:tc>
          <w:tcPr>
            <w:tcW w:w="2430" w:type="dxa"/>
          </w:tcPr>
          <w:p w14:paraId="7119D0BC" w14:textId="2F448C2A" w:rsidR="00222F2F" w:rsidRDefault="00045DDB" w:rsidP="00C7340E">
            <w:r>
              <w:t>$50,000</w:t>
            </w:r>
          </w:p>
        </w:tc>
        <w:tc>
          <w:tcPr>
            <w:tcW w:w="1345" w:type="dxa"/>
          </w:tcPr>
          <w:p w14:paraId="0669C126" w14:textId="3958A54D" w:rsidR="00222F2F" w:rsidRDefault="00045DDB" w:rsidP="00C7340E">
            <w:r>
              <w:t>$1,500,000</w:t>
            </w:r>
          </w:p>
        </w:tc>
      </w:tr>
      <w:tr w:rsidR="00045DDB" w14:paraId="652000F1" w14:textId="77777777" w:rsidTr="00914DF2">
        <w:tc>
          <w:tcPr>
            <w:tcW w:w="3055" w:type="dxa"/>
          </w:tcPr>
          <w:p w14:paraId="349466E9" w14:textId="1DCB9D46" w:rsidR="00045DDB" w:rsidRDefault="00914DF2" w:rsidP="00C7340E">
            <w:r>
              <w:t>Willful Neglect (</w:t>
            </w:r>
            <w:r>
              <w:t>160.404.b.2.i</w:t>
            </w:r>
            <w:r>
              <w:t>ii</w:t>
            </w:r>
            <w:r>
              <w:t>)</w:t>
            </w:r>
          </w:p>
        </w:tc>
        <w:tc>
          <w:tcPr>
            <w:tcW w:w="2520" w:type="dxa"/>
          </w:tcPr>
          <w:p w14:paraId="3C3CD5C8" w14:textId="347B5A04" w:rsidR="00045DDB" w:rsidRDefault="00914DF2" w:rsidP="00C7340E">
            <w:r>
              <w:t>$10,000</w:t>
            </w:r>
          </w:p>
        </w:tc>
        <w:tc>
          <w:tcPr>
            <w:tcW w:w="2430" w:type="dxa"/>
          </w:tcPr>
          <w:p w14:paraId="04E22B08" w14:textId="3C928DC0" w:rsidR="00045DDB" w:rsidRDefault="00914DF2" w:rsidP="00C7340E">
            <w:r>
              <w:t>$50,000</w:t>
            </w:r>
          </w:p>
        </w:tc>
        <w:tc>
          <w:tcPr>
            <w:tcW w:w="1345" w:type="dxa"/>
          </w:tcPr>
          <w:p w14:paraId="73998F6B" w14:textId="26C373E4" w:rsidR="00045DDB" w:rsidRDefault="007B255E" w:rsidP="00C7340E">
            <w:r>
              <w:t>$1,500,000</w:t>
            </w:r>
          </w:p>
        </w:tc>
      </w:tr>
      <w:tr w:rsidR="00914DF2" w14:paraId="25DF12E4" w14:textId="77777777" w:rsidTr="00914DF2">
        <w:tc>
          <w:tcPr>
            <w:tcW w:w="3055" w:type="dxa"/>
          </w:tcPr>
          <w:p w14:paraId="462E9A91" w14:textId="6957E040" w:rsidR="00914DF2" w:rsidRDefault="00914DF2" w:rsidP="00C7340E">
            <w:r>
              <w:t>Fail to comply (</w:t>
            </w:r>
            <w:r>
              <w:t>160.404.b.2.i</w:t>
            </w:r>
            <w:r w:rsidR="007B255E">
              <w:t>v</w:t>
            </w:r>
            <w:r>
              <w:t>)</w:t>
            </w:r>
          </w:p>
        </w:tc>
        <w:tc>
          <w:tcPr>
            <w:tcW w:w="2520" w:type="dxa"/>
          </w:tcPr>
          <w:p w14:paraId="04EC773C" w14:textId="3FB8E9B3" w:rsidR="00914DF2" w:rsidRDefault="00914DF2" w:rsidP="00C7340E">
            <w:r>
              <w:t>$50</w:t>
            </w:r>
            <w:r w:rsidR="007B255E">
              <w:t>,000</w:t>
            </w:r>
          </w:p>
        </w:tc>
        <w:tc>
          <w:tcPr>
            <w:tcW w:w="2430" w:type="dxa"/>
          </w:tcPr>
          <w:p w14:paraId="7EA6E201" w14:textId="6DD7F5CC" w:rsidR="00914DF2" w:rsidRDefault="007B255E" w:rsidP="00C7340E">
            <w:r>
              <w:t>None</w:t>
            </w:r>
          </w:p>
        </w:tc>
        <w:tc>
          <w:tcPr>
            <w:tcW w:w="1345" w:type="dxa"/>
          </w:tcPr>
          <w:p w14:paraId="63393CD1" w14:textId="4F68E224" w:rsidR="00914DF2" w:rsidRDefault="007B255E" w:rsidP="00C7340E">
            <w:r>
              <w:t>$1,500,000</w:t>
            </w:r>
          </w:p>
        </w:tc>
      </w:tr>
    </w:tbl>
    <w:p w14:paraId="4C5BA81C" w14:textId="22AB568A" w:rsidR="007B255E" w:rsidRDefault="007B255E" w:rsidP="007B255E">
      <w:pPr>
        <w:pStyle w:val="Caption"/>
        <w:jc w:val="right"/>
      </w:pPr>
      <w:sdt>
        <w:sdtPr>
          <w:id w:val="-474295730"/>
          <w:citation/>
        </w:sdtPr>
        <w:sdtContent>
          <w:r>
            <w:fldChar w:fldCharType="begin"/>
          </w:r>
          <w:r>
            <w:instrText xml:space="preserve"> CITATION Nat22 \l 1033 </w:instrText>
          </w:r>
          <w:r>
            <w:fldChar w:fldCharType="separate"/>
          </w:r>
          <w:r>
            <w:rPr>
              <w:noProof/>
            </w:rPr>
            <w:t>(National Archives, 2022)</w:t>
          </w:r>
          <w:r>
            <w:fldChar w:fldCharType="end"/>
          </w:r>
        </w:sdtContent>
      </w:sdt>
    </w:p>
    <w:p w14:paraId="0D7199AC" w14:textId="24076FE0" w:rsidR="00590A67" w:rsidRDefault="007B255E" w:rsidP="007B255E">
      <w:pPr>
        <w:pStyle w:val="Caption"/>
        <w:jc w:val="center"/>
      </w:pPr>
      <w:r>
        <w:t xml:space="preserve">Table </w:t>
      </w:r>
      <w:r>
        <w:fldChar w:fldCharType="begin"/>
      </w:r>
      <w:r>
        <w:instrText xml:space="preserve"> SEQ Table \* ARABIC </w:instrText>
      </w:r>
      <w:r>
        <w:fldChar w:fldCharType="separate"/>
      </w:r>
      <w:r>
        <w:rPr>
          <w:noProof/>
        </w:rPr>
        <w:t>2</w:t>
      </w:r>
      <w:r>
        <w:fldChar w:fldCharType="end"/>
      </w:r>
      <w:r>
        <w:t>-HIPAA Civil Penalties</w:t>
      </w:r>
    </w:p>
    <w:p w14:paraId="655CD213" w14:textId="49277A85" w:rsidR="006B30E2" w:rsidRDefault="006B30E2" w:rsidP="00C7340E"/>
    <w:p w14:paraId="0A941118" w14:textId="487A8B74" w:rsidR="00161928" w:rsidRDefault="009440E2" w:rsidP="00161928">
      <w:pPr>
        <w:pStyle w:val="Heading1"/>
        <w:jc w:val="center"/>
      </w:pPr>
      <w:r>
        <w:t>Business Continuity Plan (BCP)</w:t>
      </w:r>
    </w:p>
    <w:p w14:paraId="2044AB3F" w14:textId="77777777" w:rsidR="009440E2" w:rsidRPr="009440E2" w:rsidRDefault="009440E2" w:rsidP="009440E2"/>
    <w:p w14:paraId="5B9327E4" w14:textId="373C9AFC" w:rsidR="009440E2" w:rsidRPr="009440E2" w:rsidRDefault="009440E2" w:rsidP="009440E2">
      <w:r>
        <w:t xml:space="preserve">Psinuvia, Inc currently has a </w:t>
      </w:r>
      <w:r w:rsidR="00034C7D">
        <w:t>rudimentary</w:t>
      </w:r>
      <w:r>
        <w:t xml:space="preserve"> BCP which covers only the Texas facility and lacks controls and procedures to address possible natural disasters that may interrupt business operations</w:t>
      </w:r>
      <w:r w:rsidR="00034C7D">
        <w:t xml:space="preserve">. The compliance and IT Security Departments will need to perform a thorough business impact assessment (BIA) to identify all current potential operational impacting natural disasters.  This BIA should include every remote site that is integral to the proper operations of the organization. </w:t>
      </w:r>
      <w:r w:rsidR="00181217">
        <w:t xml:space="preserve">As each location is subject to its own unique climates and dangers, it is imperative that each location is assessed individually. </w:t>
      </w:r>
      <w:r w:rsidR="003D4A3F">
        <w:t xml:space="preserve">Once the assessment is completed, policies, procedures, and standards need to be established to ensure that business continuity can be executed in a timely and orderly manner.  </w:t>
      </w:r>
      <w:r w:rsidR="00181217">
        <w:t xml:space="preserve">A determination of how business continuity will be achieved will be based on the results of the BIA. </w:t>
      </w:r>
      <w:r w:rsidR="00EE0BA9">
        <w:t>At a minimum a s</w:t>
      </w:r>
      <w:r w:rsidR="00181217">
        <w:t>uitable location</w:t>
      </w:r>
      <w:r w:rsidR="00EE0BA9">
        <w:t xml:space="preserve"> </w:t>
      </w:r>
      <w:r w:rsidR="00181217">
        <w:t xml:space="preserve">owned by Psinuvia with the least susceptibility </w:t>
      </w:r>
      <w:r w:rsidR="00EE0BA9">
        <w:t xml:space="preserve">to disaster should be evaluated as a disaster recovery site (DRS). </w:t>
      </w:r>
      <w:r w:rsidR="003D4A3F">
        <w:t xml:space="preserve">A review of Autojor’s Independent Security Report should be conducted to ensure that each of the defined deficiencies have been addressed. </w:t>
      </w:r>
    </w:p>
    <w:p w14:paraId="14748318" w14:textId="77777777" w:rsidR="003844F1" w:rsidRPr="003844F1" w:rsidRDefault="003844F1" w:rsidP="003844F1"/>
    <w:p w14:paraId="6C8AB398" w14:textId="7F301710" w:rsidR="00EE0BA9" w:rsidRDefault="00EE0BA9">
      <w:r>
        <w:br w:type="page"/>
      </w:r>
    </w:p>
    <w:sdt>
      <w:sdtPr>
        <w:id w:val="-850644310"/>
        <w:docPartObj>
          <w:docPartGallery w:val="Bibliographies"/>
          <w:docPartUnique/>
        </w:docPartObj>
      </w:sdtPr>
      <w:sdtEndPr>
        <w:rPr>
          <w:rFonts w:asciiTheme="minorHAnsi" w:eastAsiaTheme="minorHAnsi" w:hAnsiTheme="minorHAnsi" w:cstheme="minorBidi"/>
          <w:color w:val="auto"/>
          <w:sz w:val="22"/>
          <w:szCs w:val="22"/>
        </w:rPr>
      </w:sdtEndPr>
      <w:sdtContent>
        <w:p w14:paraId="6A36AD76" w14:textId="48119C4F" w:rsidR="00EE0BA9" w:rsidRDefault="00EE0BA9">
          <w:pPr>
            <w:pStyle w:val="Heading1"/>
          </w:pPr>
          <w:r>
            <w:t>References</w:t>
          </w:r>
        </w:p>
        <w:sdt>
          <w:sdtPr>
            <w:id w:val="-573587230"/>
            <w:bibliography/>
          </w:sdtPr>
          <w:sdtContent>
            <w:p w14:paraId="2662B268" w14:textId="77777777" w:rsidR="00EE0BA9" w:rsidRDefault="00EE0BA9" w:rsidP="00EE0BA9">
              <w:pPr>
                <w:pStyle w:val="Bibliography"/>
                <w:ind w:left="720" w:hanging="720"/>
                <w:rPr>
                  <w:noProof/>
                  <w:sz w:val="24"/>
                  <w:szCs w:val="24"/>
                </w:rPr>
              </w:pPr>
              <w:r>
                <w:fldChar w:fldCharType="begin"/>
              </w:r>
              <w:r>
                <w:instrText xml:space="preserve"> BIBLIOGRAPHY </w:instrText>
              </w:r>
              <w:r>
                <w:fldChar w:fldCharType="separate"/>
              </w:r>
              <w:r>
                <w:rPr>
                  <w:i/>
                  <w:iCs/>
                  <w:noProof/>
                </w:rPr>
                <w:t>Acceptable Use Policies: A Handbook</w:t>
              </w:r>
              <w:r>
                <w:rPr>
                  <w:noProof/>
                </w:rPr>
                <w:t>. (2007, 3 31). Retrieved from Virginia Department of Education: https://web.archive.org/web/20070331155213/http://www.pen.k12.va.us/VDOE/Technology/AUP/home.shtml</w:t>
              </w:r>
            </w:p>
            <w:p w14:paraId="33630D09" w14:textId="77777777" w:rsidR="00EE0BA9" w:rsidRDefault="00EE0BA9" w:rsidP="00EE0BA9">
              <w:pPr>
                <w:pStyle w:val="Bibliography"/>
                <w:ind w:left="720" w:hanging="720"/>
                <w:rPr>
                  <w:noProof/>
                </w:rPr>
              </w:pPr>
              <w:r>
                <w:rPr>
                  <w:noProof/>
                </w:rPr>
                <w:t xml:space="preserve">Chickowski, E. (2020, 9 24). </w:t>
              </w:r>
              <w:r>
                <w:rPr>
                  <w:i/>
                  <w:iCs/>
                  <w:noProof/>
                </w:rPr>
                <w:t>BYOD security explained: what is a BYOD policy?</w:t>
              </w:r>
              <w:r>
                <w:rPr>
                  <w:noProof/>
                </w:rPr>
                <w:t xml:space="preserve"> Retrieved from AT&amp;T Business: https://cybersecurity.att.com/blogs/security-essentials/bring-your-own-device-security-explained</w:t>
              </w:r>
            </w:p>
            <w:p w14:paraId="79F7D028" w14:textId="77777777" w:rsidR="00EE0BA9" w:rsidRDefault="00EE0BA9" w:rsidP="00EE0BA9">
              <w:pPr>
                <w:pStyle w:val="Bibliography"/>
                <w:ind w:left="720" w:hanging="720"/>
                <w:rPr>
                  <w:noProof/>
                </w:rPr>
              </w:pPr>
              <w:r>
                <w:rPr>
                  <w:noProof/>
                </w:rPr>
                <w:t xml:space="preserve">European Union. (2022, 08 13). </w:t>
              </w:r>
              <w:r>
                <w:rPr>
                  <w:i/>
                  <w:iCs/>
                  <w:noProof/>
                </w:rPr>
                <w:t>GDPR Compliance Checklist</w:t>
              </w:r>
              <w:r>
                <w:rPr>
                  <w:noProof/>
                </w:rPr>
                <w:t>. Retrieved from gdpr.eu: https://gdpr.eu/checklist/</w:t>
              </w:r>
            </w:p>
            <w:p w14:paraId="32F99015" w14:textId="77777777" w:rsidR="00EE0BA9" w:rsidRDefault="00EE0BA9" w:rsidP="00EE0BA9">
              <w:pPr>
                <w:pStyle w:val="Bibliography"/>
                <w:ind w:left="720" w:hanging="720"/>
                <w:rPr>
                  <w:noProof/>
                </w:rPr>
              </w:pPr>
              <w:r>
                <w:rPr>
                  <w:noProof/>
                </w:rPr>
                <w:t xml:space="preserve">GDPR. (2022, 08 16). </w:t>
              </w:r>
              <w:r>
                <w:rPr>
                  <w:i/>
                  <w:iCs/>
                  <w:noProof/>
                </w:rPr>
                <w:t>Art. 12 - Transparent information, communication and modalities for the exercise of the rights of the data subject</w:t>
              </w:r>
              <w:r>
                <w:rPr>
                  <w:noProof/>
                </w:rPr>
                <w:t>. Retrieved from GDPR: https://gdpr.eu/article-12-how-controllers-should-provide-personal-data-to-the-subject/</w:t>
              </w:r>
            </w:p>
            <w:p w14:paraId="2B1951B8" w14:textId="77777777" w:rsidR="00EE0BA9" w:rsidRDefault="00EE0BA9" w:rsidP="00EE0BA9">
              <w:pPr>
                <w:pStyle w:val="Bibliography"/>
                <w:ind w:left="720" w:hanging="720"/>
                <w:rPr>
                  <w:noProof/>
                </w:rPr>
              </w:pPr>
              <w:r>
                <w:rPr>
                  <w:noProof/>
                </w:rPr>
                <w:t xml:space="preserve">GDPR. (2022, 08 17). </w:t>
              </w:r>
              <w:r>
                <w:rPr>
                  <w:i/>
                  <w:iCs/>
                  <w:noProof/>
                </w:rPr>
                <w:t>Art. 35 GDPR - Data protection impact assessment</w:t>
              </w:r>
              <w:r>
                <w:rPr>
                  <w:noProof/>
                </w:rPr>
                <w:t>. Retrieved from GDPR: https://gdpr.eu/article-35-impact-assessment/</w:t>
              </w:r>
            </w:p>
            <w:p w14:paraId="0560BC64" w14:textId="77777777" w:rsidR="00EE0BA9" w:rsidRDefault="00EE0BA9" w:rsidP="00EE0BA9">
              <w:pPr>
                <w:pStyle w:val="Bibliography"/>
                <w:ind w:left="720" w:hanging="720"/>
                <w:rPr>
                  <w:noProof/>
                </w:rPr>
              </w:pPr>
              <w:r>
                <w:rPr>
                  <w:noProof/>
                </w:rPr>
                <w:t xml:space="preserve">GDPR. (2022, 08 16). </w:t>
              </w:r>
              <w:r>
                <w:rPr>
                  <w:i/>
                  <w:iCs/>
                  <w:noProof/>
                </w:rPr>
                <w:t>Art. 5 GDPR - Principles relating to processing of personal data</w:t>
              </w:r>
              <w:r>
                <w:rPr>
                  <w:noProof/>
                </w:rPr>
                <w:t>. Retrieved from GDPR: https://gdpr.eu/article-5-how-to-process-personal-data/</w:t>
              </w:r>
            </w:p>
            <w:p w14:paraId="6B27F2CF" w14:textId="77777777" w:rsidR="00EE0BA9" w:rsidRDefault="00EE0BA9" w:rsidP="00EE0BA9">
              <w:pPr>
                <w:pStyle w:val="Bibliography"/>
                <w:ind w:left="720" w:hanging="720"/>
                <w:rPr>
                  <w:noProof/>
                </w:rPr>
              </w:pPr>
              <w:r>
                <w:rPr>
                  <w:noProof/>
                </w:rPr>
                <w:t xml:space="preserve">GDPR. (2022, 08 15). </w:t>
              </w:r>
              <w:r>
                <w:rPr>
                  <w:i/>
                  <w:iCs/>
                  <w:noProof/>
                </w:rPr>
                <w:t>Art. 6 GDPR - Laefulness of processing</w:t>
              </w:r>
              <w:r>
                <w:rPr>
                  <w:noProof/>
                </w:rPr>
                <w:t>. Retrieved from GDPR.eu: https://gdpr.eu/article-6-how-to-process-personal-data-legally/</w:t>
              </w:r>
            </w:p>
            <w:p w14:paraId="769AEF06" w14:textId="77777777" w:rsidR="00EE0BA9" w:rsidRDefault="00EE0BA9" w:rsidP="00EE0BA9">
              <w:pPr>
                <w:pStyle w:val="Bibliography"/>
                <w:ind w:left="720" w:hanging="720"/>
                <w:rPr>
                  <w:noProof/>
                </w:rPr>
              </w:pPr>
              <w:r>
                <w:rPr>
                  <w:i/>
                  <w:iCs/>
                  <w:noProof/>
                </w:rPr>
                <w:t>History and Creation of the Framework</w:t>
              </w:r>
              <w:r>
                <w:rPr>
                  <w:noProof/>
                </w:rPr>
                <w:t>. (2019, 11 21). Retrieved from NIST: https://www.nist.gov/cyberframework/online-learning/history-and-creation-framework</w:t>
              </w:r>
            </w:p>
            <w:p w14:paraId="30D0B4E3" w14:textId="77777777" w:rsidR="00EE0BA9" w:rsidRDefault="00EE0BA9" w:rsidP="00EE0BA9">
              <w:pPr>
                <w:pStyle w:val="Bibliography"/>
                <w:ind w:left="720" w:hanging="720"/>
                <w:rPr>
                  <w:noProof/>
                </w:rPr>
              </w:pPr>
              <w:r>
                <w:rPr>
                  <w:i/>
                  <w:iCs/>
                  <w:noProof/>
                </w:rPr>
                <w:t>MEP Centers Aid Manufacturers on Cybersecurity</w:t>
              </w:r>
              <w:r>
                <w:rPr>
                  <w:noProof/>
                </w:rPr>
                <w:t>. (2018, 5 3). Retrieved from NIST: https://www.nist.gov/news-events/news/2018/05/mep-centers-aid-manufacturers-cybersecurity</w:t>
              </w:r>
            </w:p>
            <w:p w14:paraId="51B83E1B" w14:textId="77777777" w:rsidR="00EE0BA9" w:rsidRDefault="00EE0BA9" w:rsidP="00EE0BA9">
              <w:pPr>
                <w:pStyle w:val="Bibliography"/>
                <w:ind w:left="720" w:hanging="720"/>
                <w:rPr>
                  <w:noProof/>
                </w:rPr>
              </w:pPr>
              <w:r>
                <w:rPr>
                  <w:noProof/>
                </w:rPr>
                <w:t xml:space="preserve">National Archives. (2022, 08 23). </w:t>
              </w:r>
              <w:r>
                <w:rPr>
                  <w:i/>
                  <w:iCs/>
                  <w:noProof/>
                </w:rPr>
                <w:t>45 CFR Part 160</w:t>
              </w:r>
              <w:r>
                <w:rPr>
                  <w:noProof/>
                </w:rPr>
                <w:t>. Retrieved from Code of Federal Regulations: https://www.ecfr.gov/current/title-45/subtitle-A/subchapter-C/part-160</w:t>
              </w:r>
            </w:p>
            <w:p w14:paraId="24338341" w14:textId="77777777" w:rsidR="00EE0BA9" w:rsidRDefault="00EE0BA9" w:rsidP="00EE0BA9">
              <w:pPr>
                <w:pStyle w:val="Bibliography"/>
                <w:ind w:left="720" w:hanging="720"/>
                <w:rPr>
                  <w:noProof/>
                </w:rPr>
              </w:pPr>
              <w:r>
                <w:rPr>
                  <w:noProof/>
                </w:rPr>
                <w:t>National Institute of Standards and Technology. (2018, 4 16). Framework for Improving Critical Infrastructure Cybersecurity.</w:t>
              </w:r>
            </w:p>
            <w:p w14:paraId="673F083D" w14:textId="77777777" w:rsidR="00EE0BA9" w:rsidRDefault="00EE0BA9" w:rsidP="00EE0BA9">
              <w:pPr>
                <w:pStyle w:val="Bibliography"/>
                <w:ind w:left="720" w:hanging="720"/>
                <w:rPr>
                  <w:noProof/>
                </w:rPr>
              </w:pPr>
              <w:r>
                <w:rPr>
                  <w:noProof/>
                </w:rPr>
                <w:t xml:space="preserve">NIST. (2022, 08 23). </w:t>
              </w:r>
              <w:r>
                <w:rPr>
                  <w:i/>
                  <w:iCs/>
                  <w:noProof/>
                </w:rPr>
                <w:t>Security Content Automation Protocol</w:t>
              </w:r>
              <w:r>
                <w:rPr>
                  <w:noProof/>
                </w:rPr>
                <w:t>. Retrieved from CSRC: https://csrc.nist.gov/projects/security-content-automation-protocol/hipaa</w:t>
              </w:r>
            </w:p>
            <w:p w14:paraId="782BEBC4" w14:textId="77777777" w:rsidR="00EE0BA9" w:rsidRDefault="00EE0BA9" w:rsidP="00EE0BA9">
              <w:pPr>
                <w:pStyle w:val="Bibliography"/>
                <w:ind w:left="720" w:hanging="720"/>
                <w:rPr>
                  <w:noProof/>
                </w:rPr>
              </w:pPr>
              <w:r>
                <w:rPr>
                  <w:noProof/>
                </w:rPr>
                <w:t xml:space="preserve">Office for Civil Rights (OCR). (2022, 08 24). </w:t>
              </w:r>
              <w:r>
                <w:rPr>
                  <w:i/>
                  <w:iCs/>
                  <w:noProof/>
                </w:rPr>
                <w:t>Breach Notification Rule</w:t>
              </w:r>
              <w:r>
                <w:rPr>
                  <w:noProof/>
                </w:rPr>
                <w:t>. Retrieved from HHS.gov: https://www.hhs.gov/hipaa/for-professionals/breach-notification/index.html</w:t>
              </w:r>
            </w:p>
            <w:p w14:paraId="4800B5B7" w14:textId="77777777" w:rsidR="00EE0BA9" w:rsidRDefault="00EE0BA9" w:rsidP="00EE0BA9">
              <w:pPr>
                <w:pStyle w:val="Bibliography"/>
                <w:ind w:left="720" w:hanging="720"/>
                <w:rPr>
                  <w:noProof/>
                </w:rPr>
              </w:pPr>
              <w:r>
                <w:rPr>
                  <w:noProof/>
                </w:rPr>
                <w:t xml:space="preserve">Office for Civil Rights (OCR). (2022, 08 20). </w:t>
              </w:r>
              <w:r>
                <w:rPr>
                  <w:i/>
                  <w:iCs/>
                  <w:noProof/>
                </w:rPr>
                <w:t>HIPAA for Professionals</w:t>
              </w:r>
              <w:r>
                <w:rPr>
                  <w:noProof/>
                </w:rPr>
                <w:t>. Retrieved from HHS.gov: https://www.hhs.gov/hipaa/for-professionals/index.html</w:t>
              </w:r>
            </w:p>
            <w:p w14:paraId="5E47FC87" w14:textId="77777777" w:rsidR="00EE0BA9" w:rsidRDefault="00EE0BA9" w:rsidP="00EE0BA9">
              <w:pPr>
                <w:pStyle w:val="Bibliography"/>
                <w:ind w:left="720" w:hanging="720"/>
                <w:rPr>
                  <w:noProof/>
                </w:rPr>
              </w:pPr>
              <w:r>
                <w:rPr>
                  <w:noProof/>
                </w:rPr>
                <w:t xml:space="preserve">Office for Civil Rights (OCR). (2022, 08 22). </w:t>
              </w:r>
              <w:r>
                <w:rPr>
                  <w:i/>
                  <w:iCs/>
                  <w:noProof/>
                </w:rPr>
                <w:t>Summary of the HIPAA Privacy Rule</w:t>
              </w:r>
              <w:r>
                <w:rPr>
                  <w:noProof/>
                </w:rPr>
                <w:t>. Retrieved from HHS.gov: https://www.hhs.gov/hipaa/for-professionals/privacy/laws-regulations/index.html</w:t>
              </w:r>
            </w:p>
            <w:p w14:paraId="0AAFB916" w14:textId="77777777" w:rsidR="00EE0BA9" w:rsidRDefault="00EE0BA9" w:rsidP="00EE0BA9">
              <w:pPr>
                <w:pStyle w:val="Bibliography"/>
                <w:ind w:left="720" w:hanging="720"/>
                <w:rPr>
                  <w:noProof/>
                </w:rPr>
              </w:pPr>
              <w:r>
                <w:rPr>
                  <w:noProof/>
                </w:rPr>
                <w:lastRenderedPageBreak/>
                <w:t xml:space="preserve">Office of the National Coordinator for Health Information Technology (ONC). (2022, 08 23). </w:t>
              </w:r>
              <w:r>
                <w:rPr>
                  <w:i/>
                  <w:iCs/>
                  <w:noProof/>
                </w:rPr>
                <w:t>Security Risk Assessment Tool</w:t>
              </w:r>
              <w:r>
                <w:rPr>
                  <w:noProof/>
                </w:rPr>
                <w:t>. Retrieved from HealthIT.gov: https://www.healthit.gov/topic/privacy-security-and-hipaa/security-risk-assessment-tool</w:t>
              </w:r>
            </w:p>
            <w:p w14:paraId="125C4601" w14:textId="77777777" w:rsidR="00EE0BA9" w:rsidRDefault="00EE0BA9" w:rsidP="00EE0BA9">
              <w:pPr>
                <w:pStyle w:val="Bibliography"/>
                <w:ind w:left="720" w:hanging="720"/>
                <w:rPr>
                  <w:noProof/>
                </w:rPr>
              </w:pPr>
              <w:r>
                <w:rPr>
                  <w:noProof/>
                </w:rPr>
                <w:t>PCI Security Standards Council, LLC. (2022, 03). Payment Card Industry Data Security Standard: Requirements and Testing Procedures, v4.0.</w:t>
              </w:r>
            </w:p>
            <w:p w14:paraId="78F65300" w14:textId="77777777" w:rsidR="00EE0BA9" w:rsidRDefault="00EE0BA9" w:rsidP="00EE0BA9">
              <w:pPr>
                <w:pStyle w:val="Bibliography"/>
                <w:ind w:left="720" w:hanging="720"/>
                <w:rPr>
                  <w:noProof/>
                </w:rPr>
              </w:pPr>
              <w:r>
                <w:rPr>
                  <w:noProof/>
                </w:rPr>
                <w:t xml:space="preserve">Rittenberg, J., &amp; Bottorff, C. (2022, 2 21). </w:t>
              </w:r>
              <w:r>
                <w:rPr>
                  <w:i/>
                  <w:iCs/>
                  <w:noProof/>
                </w:rPr>
                <w:t>Forbes Advisor</w:t>
              </w:r>
              <w:r>
                <w:rPr>
                  <w:noProof/>
                </w:rPr>
                <w:t>. Retrieved from https://www.forbes.com/advisor/business/what-is-asset-tracking/</w:t>
              </w:r>
            </w:p>
            <w:p w14:paraId="1CDB2183" w14:textId="77777777" w:rsidR="00EE0BA9" w:rsidRDefault="00EE0BA9" w:rsidP="00EE0BA9">
              <w:pPr>
                <w:pStyle w:val="Bibliography"/>
                <w:ind w:left="720" w:hanging="720"/>
                <w:rPr>
                  <w:noProof/>
                </w:rPr>
              </w:pPr>
              <w:r>
                <w:rPr>
                  <w:noProof/>
                </w:rPr>
                <w:t xml:space="preserve">THE EUROPEAN PARLIAMENT AND THE COUNCIL OF THE EUROPEAN UNION. (2016). REGULATION (EU) 2016/679 OF THE EUROPEAN PARLIAMENT AND OF THE COUNCIL . </w:t>
              </w:r>
              <w:r>
                <w:rPr>
                  <w:i/>
                  <w:iCs/>
                  <w:noProof/>
                </w:rPr>
                <w:t>Offical Journal of the European Union</w:t>
              </w:r>
              <w:r>
                <w:rPr>
                  <w:noProof/>
                </w:rPr>
                <w:t>.</w:t>
              </w:r>
            </w:p>
            <w:p w14:paraId="4EA96514" w14:textId="50903A18" w:rsidR="00EE0BA9" w:rsidRDefault="00EE0BA9" w:rsidP="00EE0BA9">
              <w:r>
                <w:rPr>
                  <w:b/>
                  <w:bCs/>
                  <w:noProof/>
                </w:rPr>
                <w:fldChar w:fldCharType="end"/>
              </w:r>
            </w:p>
          </w:sdtContent>
        </w:sdt>
      </w:sdtContent>
    </w:sdt>
    <w:p w14:paraId="72F1B553" w14:textId="77777777" w:rsidR="00224194" w:rsidRPr="00E86B1F" w:rsidRDefault="00224194" w:rsidP="00E86B1F"/>
    <w:sectPr w:rsidR="00224194" w:rsidRPr="00E86B1F">
      <w:pgSz w:w="12240" w:h="15840"/>
      <w:pgMar w:top="1440" w:right="1440" w:bottom="1440" w:left="1440" w:header="720" w:footer="720" w:gutter="0"/>
      <w:cols w:space="720"/>
      <w:docGrid w:linePitch="0"/>
      <w:sectPrChange w:id="0" w:author="Damian Yates" w:date="2022-02-27T17:42:00Z">
        <w:sectPr w:rsidR="00224194" w:rsidRPr="00E86B1F">
          <w:pgMar w:top="1440" w:right="1440" w:bottom="1440" w:left="1440" w:header="720" w:footer="720" w:gutter="0"/>
          <w:docGrid w:linePitch="36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5B10"/>
    <w:multiLevelType w:val="hybridMultilevel"/>
    <w:tmpl w:val="667C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93EA8"/>
    <w:multiLevelType w:val="hybridMultilevel"/>
    <w:tmpl w:val="F04C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437FE"/>
    <w:multiLevelType w:val="hybridMultilevel"/>
    <w:tmpl w:val="E084A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35EF6"/>
    <w:multiLevelType w:val="hybridMultilevel"/>
    <w:tmpl w:val="9E04A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24613"/>
    <w:multiLevelType w:val="hybridMultilevel"/>
    <w:tmpl w:val="F42E4F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51846D44"/>
    <w:multiLevelType w:val="hybridMultilevel"/>
    <w:tmpl w:val="2500F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450F7"/>
    <w:multiLevelType w:val="hybridMultilevel"/>
    <w:tmpl w:val="DA6C0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106F2"/>
    <w:multiLevelType w:val="hybridMultilevel"/>
    <w:tmpl w:val="30E0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95FCF"/>
    <w:multiLevelType w:val="hybridMultilevel"/>
    <w:tmpl w:val="C1A8D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16062"/>
    <w:multiLevelType w:val="hybridMultilevel"/>
    <w:tmpl w:val="C13E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B029D"/>
    <w:multiLevelType w:val="hybridMultilevel"/>
    <w:tmpl w:val="EF9E3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341986">
    <w:abstractNumId w:val="4"/>
  </w:num>
  <w:num w:numId="2" w16cid:durableId="732430914">
    <w:abstractNumId w:val="9"/>
  </w:num>
  <w:num w:numId="3" w16cid:durableId="231353231">
    <w:abstractNumId w:val="3"/>
  </w:num>
  <w:num w:numId="4" w16cid:durableId="166945700">
    <w:abstractNumId w:val="1"/>
  </w:num>
  <w:num w:numId="5" w16cid:durableId="391931397">
    <w:abstractNumId w:val="10"/>
  </w:num>
  <w:num w:numId="6" w16cid:durableId="440034297">
    <w:abstractNumId w:val="2"/>
  </w:num>
  <w:num w:numId="7" w16cid:durableId="1537234926">
    <w:abstractNumId w:val="0"/>
  </w:num>
  <w:num w:numId="8" w16cid:durableId="72826185">
    <w:abstractNumId w:val="6"/>
  </w:num>
  <w:num w:numId="9" w16cid:durableId="1459570351">
    <w:abstractNumId w:val="7"/>
  </w:num>
  <w:num w:numId="10" w16cid:durableId="1433083664">
    <w:abstractNumId w:val="5"/>
  </w:num>
  <w:num w:numId="11" w16cid:durableId="667264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an Yates">
    <w15:presenceInfo w15:providerId="AD" w15:userId="S::damiany@terrane.net::41d43dbd-1388-4344-b840-ed97de5c0f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85"/>
    <w:rsid w:val="00001BB3"/>
    <w:rsid w:val="0000388E"/>
    <w:rsid w:val="000048EC"/>
    <w:rsid w:val="00004FD1"/>
    <w:rsid w:val="000058C4"/>
    <w:rsid w:val="00007F94"/>
    <w:rsid w:val="0001343B"/>
    <w:rsid w:val="00015613"/>
    <w:rsid w:val="00021757"/>
    <w:rsid w:val="000234A3"/>
    <w:rsid w:val="0002376B"/>
    <w:rsid w:val="000250F9"/>
    <w:rsid w:val="00025D8D"/>
    <w:rsid w:val="000320A3"/>
    <w:rsid w:val="00032682"/>
    <w:rsid w:val="00033153"/>
    <w:rsid w:val="00034482"/>
    <w:rsid w:val="00034C7D"/>
    <w:rsid w:val="00042330"/>
    <w:rsid w:val="00042C9F"/>
    <w:rsid w:val="000456BF"/>
    <w:rsid w:val="00045DDB"/>
    <w:rsid w:val="0005112F"/>
    <w:rsid w:val="00053AC2"/>
    <w:rsid w:val="00054264"/>
    <w:rsid w:val="00055D90"/>
    <w:rsid w:val="0005605D"/>
    <w:rsid w:val="00060239"/>
    <w:rsid w:val="000607F3"/>
    <w:rsid w:val="00061144"/>
    <w:rsid w:val="000627AB"/>
    <w:rsid w:val="00064F13"/>
    <w:rsid w:val="000660B9"/>
    <w:rsid w:val="0006688E"/>
    <w:rsid w:val="000704BB"/>
    <w:rsid w:val="00071A3E"/>
    <w:rsid w:val="000759E2"/>
    <w:rsid w:val="00075BF6"/>
    <w:rsid w:val="0007654B"/>
    <w:rsid w:val="00080534"/>
    <w:rsid w:val="00080EB4"/>
    <w:rsid w:val="00081AAE"/>
    <w:rsid w:val="00082122"/>
    <w:rsid w:val="0008575E"/>
    <w:rsid w:val="00085DFF"/>
    <w:rsid w:val="00090765"/>
    <w:rsid w:val="00091EDB"/>
    <w:rsid w:val="00092B4A"/>
    <w:rsid w:val="00096EBF"/>
    <w:rsid w:val="000A02AD"/>
    <w:rsid w:val="000A263E"/>
    <w:rsid w:val="000A37BB"/>
    <w:rsid w:val="000A4713"/>
    <w:rsid w:val="000A589B"/>
    <w:rsid w:val="000A5AFB"/>
    <w:rsid w:val="000A728B"/>
    <w:rsid w:val="000A731A"/>
    <w:rsid w:val="000A76A6"/>
    <w:rsid w:val="000B6C31"/>
    <w:rsid w:val="000B7A13"/>
    <w:rsid w:val="000C23AB"/>
    <w:rsid w:val="000C40A5"/>
    <w:rsid w:val="000C4A96"/>
    <w:rsid w:val="000C4EB3"/>
    <w:rsid w:val="000C5C36"/>
    <w:rsid w:val="000C6B3F"/>
    <w:rsid w:val="000D142C"/>
    <w:rsid w:val="000D205D"/>
    <w:rsid w:val="000D4C09"/>
    <w:rsid w:val="000D512D"/>
    <w:rsid w:val="000D79A4"/>
    <w:rsid w:val="000E3CA7"/>
    <w:rsid w:val="000E42BC"/>
    <w:rsid w:val="000E7BE6"/>
    <w:rsid w:val="000F213C"/>
    <w:rsid w:val="000F2948"/>
    <w:rsid w:val="000F62F1"/>
    <w:rsid w:val="000F69DF"/>
    <w:rsid w:val="00102838"/>
    <w:rsid w:val="0011117B"/>
    <w:rsid w:val="001115FD"/>
    <w:rsid w:val="00113988"/>
    <w:rsid w:val="00114AA1"/>
    <w:rsid w:val="001155E0"/>
    <w:rsid w:val="00115615"/>
    <w:rsid w:val="001157BC"/>
    <w:rsid w:val="00115E99"/>
    <w:rsid w:val="0011633B"/>
    <w:rsid w:val="0011643C"/>
    <w:rsid w:val="00121760"/>
    <w:rsid w:val="001228DB"/>
    <w:rsid w:val="00124669"/>
    <w:rsid w:val="0012689F"/>
    <w:rsid w:val="00130397"/>
    <w:rsid w:val="001306DA"/>
    <w:rsid w:val="00140C43"/>
    <w:rsid w:val="00142708"/>
    <w:rsid w:val="00143243"/>
    <w:rsid w:val="00146747"/>
    <w:rsid w:val="00147179"/>
    <w:rsid w:val="00150F5B"/>
    <w:rsid w:val="00151612"/>
    <w:rsid w:val="00156499"/>
    <w:rsid w:val="0016139F"/>
    <w:rsid w:val="00161928"/>
    <w:rsid w:val="001665AE"/>
    <w:rsid w:val="00166DE3"/>
    <w:rsid w:val="001679D5"/>
    <w:rsid w:val="00167DD2"/>
    <w:rsid w:val="00181217"/>
    <w:rsid w:val="00181826"/>
    <w:rsid w:val="00182E4D"/>
    <w:rsid w:val="00183E39"/>
    <w:rsid w:val="001864B9"/>
    <w:rsid w:val="001905B0"/>
    <w:rsid w:val="001977ED"/>
    <w:rsid w:val="001A1014"/>
    <w:rsid w:val="001A25EE"/>
    <w:rsid w:val="001A2D1D"/>
    <w:rsid w:val="001A2FC3"/>
    <w:rsid w:val="001A39D3"/>
    <w:rsid w:val="001A5558"/>
    <w:rsid w:val="001A5865"/>
    <w:rsid w:val="001A658C"/>
    <w:rsid w:val="001A6DB9"/>
    <w:rsid w:val="001A7269"/>
    <w:rsid w:val="001B3256"/>
    <w:rsid w:val="001B4BA3"/>
    <w:rsid w:val="001B6438"/>
    <w:rsid w:val="001B6570"/>
    <w:rsid w:val="001B6697"/>
    <w:rsid w:val="001B77FE"/>
    <w:rsid w:val="001C0E1C"/>
    <w:rsid w:val="001C19BF"/>
    <w:rsid w:val="001C39CE"/>
    <w:rsid w:val="001C3AC8"/>
    <w:rsid w:val="001C46E8"/>
    <w:rsid w:val="001C5386"/>
    <w:rsid w:val="001D0A59"/>
    <w:rsid w:val="001D3047"/>
    <w:rsid w:val="001D63F7"/>
    <w:rsid w:val="001D6607"/>
    <w:rsid w:val="001D7CE5"/>
    <w:rsid w:val="001E0251"/>
    <w:rsid w:val="001E07A9"/>
    <w:rsid w:val="001E140C"/>
    <w:rsid w:val="001E2B76"/>
    <w:rsid w:val="001E3696"/>
    <w:rsid w:val="001E6357"/>
    <w:rsid w:val="001E7FF3"/>
    <w:rsid w:val="001F0520"/>
    <w:rsid w:val="001F1DB6"/>
    <w:rsid w:val="001F4C78"/>
    <w:rsid w:val="0020047D"/>
    <w:rsid w:val="00213E0E"/>
    <w:rsid w:val="002140C1"/>
    <w:rsid w:val="00215688"/>
    <w:rsid w:val="00217CBF"/>
    <w:rsid w:val="002218BD"/>
    <w:rsid w:val="0022241A"/>
    <w:rsid w:val="00222F2F"/>
    <w:rsid w:val="00224194"/>
    <w:rsid w:val="002248A3"/>
    <w:rsid w:val="002269F3"/>
    <w:rsid w:val="00227925"/>
    <w:rsid w:val="00233DE7"/>
    <w:rsid w:val="0023508D"/>
    <w:rsid w:val="00235B64"/>
    <w:rsid w:val="002365F5"/>
    <w:rsid w:val="002378D4"/>
    <w:rsid w:val="00240197"/>
    <w:rsid w:val="002418D3"/>
    <w:rsid w:val="002446D4"/>
    <w:rsid w:val="0024692C"/>
    <w:rsid w:val="00251EA5"/>
    <w:rsid w:val="00252DBC"/>
    <w:rsid w:val="002530BC"/>
    <w:rsid w:val="00253DBA"/>
    <w:rsid w:val="00256C0D"/>
    <w:rsid w:val="00263A75"/>
    <w:rsid w:val="00263D03"/>
    <w:rsid w:val="00264A2C"/>
    <w:rsid w:val="00266244"/>
    <w:rsid w:val="00270125"/>
    <w:rsid w:val="00272310"/>
    <w:rsid w:val="002808FB"/>
    <w:rsid w:val="00282C1B"/>
    <w:rsid w:val="002859E3"/>
    <w:rsid w:val="00286BB5"/>
    <w:rsid w:val="002873F2"/>
    <w:rsid w:val="0028769F"/>
    <w:rsid w:val="00292593"/>
    <w:rsid w:val="002941C2"/>
    <w:rsid w:val="002A2AA4"/>
    <w:rsid w:val="002A3E29"/>
    <w:rsid w:val="002A58C3"/>
    <w:rsid w:val="002A70D3"/>
    <w:rsid w:val="002B1DC5"/>
    <w:rsid w:val="002B2323"/>
    <w:rsid w:val="002B55F4"/>
    <w:rsid w:val="002C07D2"/>
    <w:rsid w:val="002C1B1C"/>
    <w:rsid w:val="002C4DF1"/>
    <w:rsid w:val="002D027E"/>
    <w:rsid w:val="002D03B8"/>
    <w:rsid w:val="002D0A92"/>
    <w:rsid w:val="002D1917"/>
    <w:rsid w:val="002D45B3"/>
    <w:rsid w:val="002E09CF"/>
    <w:rsid w:val="002E23E5"/>
    <w:rsid w:val="002E324D"/>
    <w:rsid w:val="002E3CAC"/>
    <w:rsid w:val="002E412E"/>
    <w:rsid w:val="002E4C50"/>
    <w:rsid w:val="002E5357"/>
    <w:rsid w:val="002E6080"/>
    <w:rsid w:val="002E7316"/>
    <w:rsid w:val="002F0155"/>
    <w:rsid w:val="002F186D"/>
    <w:rsid w:val="002F1B90"/>
    <w:rsid w:val="002F2813"/>
    <w:rsid w:val="002F451F"/>
    <w:rsid w:val="002F4685"/>
    <w:rsid w:val="002F5B01"/>
    <w:rsid w:val="002F7EA0"/>
    <w:rsid w:val="003000CD"/>
    <w:rsid w:val="00300B9C"/>
    <w:rsid w:val="00302009"/>
    <w:rsid w:val="003023F1"/>
    <w:rsid w:val="0030269A"/>
    <w:rsid w:val="00303088"/>
    <w:rsid w:val="003052B8"/>
    <w:rsid w:val="003056D2"/>
    <w:rsid w:val="0030611E"/>
    <w:rsid w:val="00307A80"/>
    <w:rsid w:val="003106C2"/>
    <w:rsid w:val="00310C8B"/>
    <w:rsid w:val="00312EAB"/>
    <w:rsid w:val="00314116"/>
    <w:rsid w:val="00317A98"/>
    <w:rsid w:val="00317BAF"/>
    <w:rsid w:val="0032087A"/>
    <w:rsid w:val="00321563"/>
    <w:rsid w:val="00325371"/>
    <w:rsid w:val="0032538C"/>
    <w:rsid w:val="00325444"/>
    <w:rsid w:val="00326F14"/>
    <w:rsid w:val="0033200A"/>
    <w:rsid w:val="003322A5"/>
    <w:rsid w:val="00333A79"/>
    <w:rsid w:val="003369C9"/>
    <w:rsid w:val="00345C27"/>
    <w:rsid w:val="00347D8B"/>
    <w:rsid w:val="00350937"/>
    <w:rsid w:val="003544F6"/>
    <w:rsid w:val="00354C51"/>
    <w:rsid w:val="003559AC"/>
    <w:rsid w:val="00355A8E"/>
    <w:rsid w:val="00356EB2"/>
    <w:rsid w:val="0036009E"/>
    <w:rsid w:val="0036318B"/>
    <w:rsid w:val="00364EEC"/>
    <w:rsid w:val="00367E8A"/>
    <w:rsid w:val="00370246"/>
    <w:rsid w:val="003757E1"/>
    <w:rsid w:val="00376118"/>
    <w:rsid w:val="003762D9"/>
    <w:rsid w:val="00381104"/>
    <w:rsid w:val="00381E43"/>
    <w:rsid w:val="00382673"/>
    <w:rsid w:val="00382BD5"/>
    <w:rsid w:val="003835BA"/>
    <w:rsid w:val="003844F1"/>
    <w:rsid w:val="00384C5B"/>
    <w:rsid w:val="003876FE"/>
    <w:rsid w:val="003903A6"/>
    <w:rsid w:val="0039085F"/>
    <w:rsid w:val="00391ACC"/>
    <w:rsid w:val="00392363"/>
    <w:rsid w:val="003923EB"/>
    <w:rsid w:val="0039416A"/>
    <w:rsid w:val="00395F18"/>
    <w:rsid w:val="0039673B"/>
    <w:rsid w:val="0039694C"/>
    <w:rsid w:val="00397860"/>
    <w:rsid w:val="003A2F31"/>
    <w:rsid w:val="003A51F0"/>
    <w:rsid w:val="003A58B6"/>
    <w:rsid w:val="003A6A13"/>
    <w:rsid w:val="003A75A2"/>
    <w:rsid w:val="003B08B2"/>
    <w:rsid w:val="003B47D9"/>
    <w:rsid w:val="003B4BE0"/>
    <w:rsid w:val="003B51C1"/>
    <w:rsid w:val="003B64D8"/>
    <w:rsid w:val="003C163B"/>
    <w:rsid w:val="003C4972"/>
    <w:rsid w:val="003C4FE9"/>
    <w:rsid w:val="003C566F"/>
    <w:rsid w:val="003D2F34"/>
    <w:rsid w:val="003D4860"/>
    <w:rsid w:val="003D4A3F"/>
    <w:rsid w:val="003E2EE5"/>
    <w:rsid w:val="003E57FB"/>
    <w:rsid w:val="003E6C31"/>
    <w:rsid w:val="003F0347"/>
    <w:rsid w:val="003F0990"/>
    <w:rsid w:val="003F0C7E"/>
    <w:rsid w:val="003F10C2"/>
    <w:rsid w:val="003F496D"/>
    <w:rsid w:val="003F5AE9"/>
    <w:rsid w:val="003F6591"/>
    <w:rsid w:val="003F6DF2"/>
    <w:rsid w:val="003F757B"/>
    <w:rsid w:val="003F7FF9"/>
    <w:rsid w:val="004005C1"/>
    <w:rsid w:val="004043ED"/>
    <w:rsid w:val="0040482C"/>
    <w:rsid w:val="00405466"/>
    <w:rsid w:val="00405FAC"/>
    <w:rsid w:val="00406B33"/>
    <w:rsid w:val="00406EB1"/>
    <w:rsid w:val="0040703D"/>
    <w:rsid w:val="004075FF"/>
    <w:rsid w:val="00410F49"/>
    <w:rsid w:val="004110A6"/>
    <w:rsid w:val="00412480"/>
    <w:rsid w:val="00413A71"/>
    <w:rsid w:val="0041421E"/>
    <w:rsid w:val="00414BF3"/>
    <w:rsid w:val="00421F06"/>
    <w:rsid w:val="00424557"/>
    <w:rsid w:val="00426D35"/>
    <w:rsid w:val="00427B8A"/>
    <w:rsid w:val="00431C1A"/>
    <w:rsid w:val="00435183"/>
    <w:rsid w:val="004358C5"/>
    <w:rsid w:val="00444070"/>
    <w:rsid w:val="00444BF0"/>
    <w:rsid w:val="004526F5"/>
    <w:rsid w:val="00452BB5"/>
    <w:rsid w:val="004531CF"/>
    <w:rsid w:val="00456714"/>
    <w:rsid w:val="00456A39"/>
    <w:rsid w:val="00457635"/>
    <w:rsid w:val="00460A61"/>
    <w:rsid w:val="00460E63"/>
    <w:rsid w:val="00461886"/>
    <w:rsid w:val="004634F2"/>
    <w:rsid w:val="00464A62"/>
    <w:rsid w:val="00476271"/>
    <w:rsid w:val="00477F0C"/>
    <w:rsid w:val="00480E4C"/>
    <w:rsid w:val="004811B2"/>
    <w:rsid w:val="00482AE8"/>
    <w:rsid w:val="00484130"/>
    <w:rsid w:val="00485D19"/>
    <w:rsid w:val="00490392"/>
    <w:rsid w:val="004903C0"/>
    <w:rsid w:val="00491EF9"/>
    <w:rsid w:val="0049205F"/>
    <w:rsid w:val="00497640"/>
    <w:rsid w:val="004A06F1"/>
    <w:rsid w:val="004A09C7"/>
    <w:rsid w:val="004A0C1B"/>
    <w:rsid w:val="004A0D2C"/>
    <w:rsid w:val="004A1B11"/>
    <w:rsid w:val="004A1CD9"/>
    <w:rsid w:val="004A5F56"/>
    <w:rsid w:val="004A78FC"/>
    <w:rsid w:val="004B12E7"/>
    <w:rsid w:val="004B2E1E"/>
    <w:rsid w:val="004B38D1"/>
    <w:rsid w:val="004B3F6B"/>
    <w:rsid w:val="004B3FC7"/>
    <w:rsid w:val="004B69F6"/>
    <w:rsid w:val="004C03C3"/>
    <w:rsid w:val="004C0AA3"/>
    <w:rsid w:val="004C5EF4"/>
    <w:rsid w:val="004C6421"/>
    <w:rsid w:val="004C6654"/>
    <w:rsid w:val="004C68CA"/>
    <w:rsid w:val="004D3329"/>
    <w:rsid w:val="004D4164"/>
    <w:rsid w:val="004D5112"/>
    <w:rsid w:val="004D6464"/>
    <w:rsid w:val="004D738E"/>
    <w:rsid w:val="004E264E"/>
    <w:rsid w:val="004E2BBF"/>
    <w:rsid w:val="004E3FF6"/>
    <w:rsid w:val="004E684D"/>
    <w:rsid w:val="004F1C31"/>
    <w:rsid w:val="004F1E83"/>
    <w:rsid w:val="004F4210"/>
    <w:rsid w:val="0050179A"/>
    <w:rsid w:val="005057BC"/>
    <w:rsid w:val="00505E05"/>
    <w:rsid w:val="00506C1F"/>
    <w:rsid w:val="00507D5D"/>
    <w:rsid w:val="00510557"/>
    <w:rsid w:val="0051322D"/>
    <w:rsid w:val="005133B1"/>
    <w:rsid w:val="00514A0E"/>
    <w:rsid w:val="00517EAC"/>
    <w:rsid w:val="00520E50"/>
    <w:rsid w:val="00521D87"/>
    <w:rsid w:val="0052521F"/>
    <w:rsid w:val="00525268"/>
    <w:rsid w:val="00525320"/>
    <w:rsid w:val="005276BF"/>
    <w:rsid w:val="00527E1B"/>
    <w:rsid w:val="00530028"/>
    <w:rsid w:val="005330A9"/>
    <w:rsid w:val="0053504D"/>
    <w:rsid w:val="00535A0E"/>
    <w:rsid w:val="00536505"/>
    <w:rsid w:val="00541DDA"/>
    <w:rsid w:val="00543B12"/>
    <w:rsid w:val="0054414F"/>
    <w:rsid w:val="005444E8"/>
    <w:rsid w:val="00547E09"/>
    <w:rsid w:val="005538BE"/>
    <w:rsid w:val="00553A50"/>
    <w:rsid w:val="00553CE5"/>
    <w:rsid w:val="00555590"/>
    <w:rsid w:val="00555E05"/>
    <w:rsid w:val="00561AEA"/>
    <w:rsid w:val="00561B5D"/>
    <w:rsid w:val="00561EA0"/>
    <w:rsid w:val="005647A0"/>
    <w:rsid w:val="005669B9"/>
    <w:rsid w:val="00570014"/>
    <w:rsid w:val="00571779"/>
    <w:rsid w:val="00571EBF"/>
    <w:rsid w:val="005730E5"/>
    <w:rsid w:val="00573C04"/>
    <w:rsid w:val="00574AED"/>
    <w:rsid w:val="005754AA"/>
    <w:rsid w:val="00577E88"/>
    <w:rsid w:val="0058182C"/>
    <w:rsid w:val="005821FF"/>
    <w:rsid w:val="005835EC"/>
    <w:rsid w:val="005848F7"/>
    <w:rsid w:val="005861F9"/>
    <w:rsid w:val="00586AE2"/>
    <w:rsid w:val="00590A67"/>
    <w:rsid w:val="00592207"/>
    <w:rsid w:val="00597BA2"/>
    <w:rsid w:val="005A076A"/>
    <w:rsid w:val="005A19FB"/>
    <w:rsid w:val="005A325E"/>
    <w:rsid w:val="005B0D89"/>
    <w:rsid w:val="005B2ECA"/>
    <w:rsid w:val="005B5A35"/>
    <w:rsid w:val="005C2B13"/>
    <w:rsid w:val="005C427E"/>
    <w:rsid w:val="005C66A4"/>
    <w:rsid w:val="005D2D10"/>
    <w:rsid w:val="005D5A7F"/>
    <w:rsid w:val="005D5AE3"/>
    <w:rsid w:val="005D6443"/>
    <w:rsid w:val="005D77B1"/>
    <w:rsid w:val="005E0C3C"/>
    <w:rsid w:val="005E1E27"/>
    <w:rsid w:val="005E36C4"/>
    <w:rsid w:val="005E4D27"/>
    <w:rsid w:val="005E5879"/>
    <w:rsid w:val="005F1B4F"/>
    <w:rsid w:val="005F2286"/>
    <w:rsid w:val="005F4EDC"/>
    <w:rsid w:val="005F7AC8"/>
    <w:rsid w:val="0060102C"/>
    <w:rsid w:val="006012DB"/>
    <w:rsid w:val="00601AF7"/>
    <w:rsid w:val="00601FC3"/>
    <w:rsid w:val="0060277A"/>
    <w:rsid w:val="00602B36"/>
    <w:rsid w:val="006042A3"/>
    <w:rsid w:val="00606056"/>
    <w:rsid w:val="00607280"/>
    <w:rsid w:val="00613F94"/>
    <w:rsid w:val="00614EFC"/>
    <w:rsid w:val="006211F0"/>
    <w:rsid w:val="00625BDA"/>
    <w:rsid w:val="00631661"/>
    <w:rsid w:val="00631838"/>
    <w:rsid w:val="00632C7C"/>
    <w:rsid w:val="00632F75"/>
    <w:rsid w:val="0063701D"/>
    <w:rsid w:val="00640A1E"/>
    <w:rsid w:val="006424EF"/>
    <w:rsid w:val="006427F9"/>
    <w:rsid w:val="00645EF9"/>
    <w:rsid w:val="006469E9"/>
    <w:rsid w:val="0064723D"/>
    <w:rsid w:val="00650DB6"/>
    <w:rsid w:val="00651EA4"/>
    <w:rsid w:val="006532CD"/>
    <w:rsid w:val="00653472"/>
    <w:rsid w:val="00653EC3"/>
    <w:rsid w:val="006553EB"/>
    <w:rsid w:val="00657E07"/>
    <w:rsid w:val="00660533"/>
    <w:rsid w:val="00661587"/>
    <w:rsid w:val="00661E10"/>
    <w:rsid w:val="00662832"/>
    <w:rsid w:val="006636A3"/>
    <w:rsid w:val="00665B4A"/>
    <w:rsid w:val="006663C2"/>
    <w:rsid w:val="0067105A"/>
    <w:rsid w:val="006711DC"/>
    <w:rsid w:val="0067224B"/>
    <w:rsid w:val="006750F4"/>
    <w:rsid w:val="006759A4"/>
    <w:rsid w:val="00682421"/>
    <w:rsid w:val="00682904"/>
    <w:rsid w:val="00682D36"/>
    <w:rsid w:val="00684DC8"/>
    <w:rsid w:val="006865FA"/>
    <w:rsid w:val="00687FAC"/>
    <w:rsid w:val="00691409"/>
    <w:rsid w:val="0069199B"/>
    <w:rsid w:val="00692505"/>
    <w:rsid w:val="006927D0"/>
    <w:rsid w:val="006937A3"/>
    <w:rsid w:val="006939C2"/>
    <w:rsid w:val="00694502"/>
    <w:rsid w:val="0069550C"/>
    <w:rsid w:val="0069660E"/>
    <w:rsid w:val="006A103D"/>
    <w:rsid w:val="006A145A"/>
    <w:rsid w:val="006A3BDC"/>
    <w:rsid w:val="006A46A7"/>
    <w:rsid w:val="006A4C8E"/>
    <w:rsid w:val="006A6224"/>
    <w:rsid w:val="006A6706"/>
    <w:rsid w:val="006A67E4"/>
    <w:rsid w:val="006B1B0E"/>
    <w:rsid w:val="006B1B31"/>
    <w:rsid w:val="006B1FA6"/>
    <w:rsid w:val="006B30E2"/>
    <w:rsid w:val="006B4115"/>
    <w:rsid w:val="006B49CB"/>
    <w:rsid w:val="006B59BB"/>
    <w:rsid w:val="006C00EA"/>
    <w:rsid w:val="006C0433"/>
    <w:rsid w:val="006C1930"/>
    <w:rsid w:val="006C5B52"/>
    <w:rsid w:val="006C61C5"/>
    <w:rsid w:val="006C6BAD"/>
    <w:rsid w:val="006C6EC6"/>
    <w:rsid w:val="006D06D9"/>
    <w:rsid w:val="006D4402"/>
    <w:rsid w:val="006D705B"/>
    <w:rsid w:val="006E2DBE"/>
    <w:rsid w:val="006E2F43"/>
    <w:rsid w:val="006E49D2"/>
    <w:rsid w:val="006E5520"/>
    <w:rsid w:val="006E5F8B"/>
    <w:rsid w:val="006E742A"/>
    <w:rsid w:val="006E7C10"/>
    <w:rsid w:val="006E7C51"/>
    <w:rsid w:val="006F7F23"/>
    <w:rsid w:val="0070034F"/>
    <w:rsid w:val="0070172B"/>
    <w:rsid w:val="0070237C"/>
    <w:rsid w:val="00702716"/>
    <w:rsid w:val="007055B6"/>
    <w:rsid w:val="00705D03"/>
    <w:rsid w:val="00705D3D"/>
    <w:rsid w:val="007061E7"/>
    <w:rsid w:val="007101D9"/>
    <w:rsid w:val="00710904"/>
    <w:rsid w:val="00710D75"/>
    <w:rsid w:val="00715101"/>
    <w:rsid w:val="0071606E"/>
    <w:rsid w:val="00717AEF"/>
    <w:rsid w:val="00717FAD"/>
    <w:rsid w:val="00720E35"/>
    <w:rsid w:val="00722184"/>
    <w:rsid w:val="00723DB0"/>
    <w:rsid w:val="00731B31"/>
    <w:rsid w:val="00733CFF"/>
    <w:rsid w:val="00735796"/>
    <w:rsid w:val="00737589"/>
    <w:rsid w:val="00740BCC"/>
    <w:rsid w:val="00741AA1"/>
    <w:rsid w:val="007436D1"/>
    <w:rsid w:val="007452A5"/>
    <w:rsid w:val="00745D09"/>
    <w:rsid w:val="00746510"/>
    <w:rsid w:val="00747785"/>
    <w:rsid w:val="00753BCA"/>
    <w:rsid w:val="00761B4D"/>
    <w:rsid w:val="007628C6"/>
    <w:rsid w:val="00764EDB"/>
    <w:rsid w:val="00771DC9"/>
    <w:rsid w:val="00774C61"/>
    <w:rsid w:val="00774F28"/>
    <w:rsid w:val="0077566F"/>
    <w:rsid w:val="007762AB"/>
    <w:rsid w:val="00782537"/>
    <w:rsid w:val="007832BA"/>
    <w:rsid w:val="00785CF9"/>
    <w:rsid w:val="00785F27"/>
    <w:rsid w:val="0079061A"/>
    <w:rsid w:val="00790AD0"/>
    <w:rsid w:val="00790D56"/>
    <w:rsid w:val="007914FB"/>
    <w:rsid w:val="00794DF0"/>
    <w:rsid w:val="00797530"/>
    <w:rsid w:val="007A029B"/>
    <w:rsid w:val="007A21F5"/>
    <w:rsid w:val="007A4283"/>
    <w:rsid w:val="007A5A9F"/>
    <w:rsid w:val="007B0DB0"/>
    <w:rsid w:val="007B255E"/>
    <w:rsid w:val="007B3099"/>
    <w:rsid w:val="007B3C1C"/>
    <w:rsid w:val="007C0DA7"/>
    <w:rsid w:val="007C2833"/>
    <w:rsid w:val="007C3639"/>
    <w:rsid w:val="007C47A7"/>
    <w:rsid w:val="007D2F96"/>
    <w:rsid w:val="007D32A3"/>
    <w:rsid w:val="007D3BD7"/>
    <w:rsid w:val="007D508E"/>
    <w:rsid w:val="007D72B3"/>
    <w:rsid w:val="007D7F9E"/>
    <w:rsid w:val="007E06A5"/>
    <w:rsid w:val="007E1044"/>
    <w:rsid w:val="007E10EC"/>
    <w:rsid w:val="007E29A6"/>
    <w:rsid w:val="007E72D3"/>
    <w:rsid w:val="007F0FC4"/>
    <w:rsid w:val="007F618A"/>
    <w:rsid w:val="007F7B66"/>
    <w:rsid w:val="00800A94"/>
    <w:rsid w:val="00802A11"/>
    <w:rsid w:val="0080575E"/>
    <w:rsid w:val="00806E6D"/>
    <w:rsid w:val="008076EA"/>
    <w:rsid w:val="00807BEB"/>
    <w:rsid w:val="00810BBC"/>
    <w:rsid w:val="0081145A"/>
    <w:rsid w:val="00814A6E"/>
    <w:rsid w:val="008169B5"/>
    <w:rsid w:val="00821C36"/>
    <w:rsid w:val="0082222C"/>
    <w:rsid w:val="00823918"/>
    <w:rsid w:val="0082512B"/>
    <w:rsid w:val="0082614B"/>
    <w:rsid w:val="0082630C"/>
    <w:rsid w:val="00833CC1"/>
    <w:rsid w:val="00833E7D"/>
    <w:rsid w:val="00841187"/>
    <w:rsid w:val="008417D1"/>
    <w:rsid w:val="00841EE5"/>
    <w:rsid w:val="00844F30"/>
    <w:rsid w:val="00845F92"/>
    <w:rsid w:val="00847BD2"/>
    <w:rsid w:val="00850518"/>
    <w:rsid w:val="00850BEF"/>
    <w:rsid w:val="008516BF"/>
    <w:rsid w:val="008571D2"/>
    <w:rsid w:val="008620FA"/>
    <w:rsid w:val="008633C1"/>
    <w:rsid w:val="008635C9"/>
    <w:rsid w:val="008648FE"/>
    <w:rsid w:val="00867118"/>
    <w:rsid w:val="00867175"/>
    <w:rsid w:val="0087046C"/>
    <w:rsid w:val="00873533"/>
    <w:rsid w:val="00874789"/>
    <w:rsid w:val="00875686"/>
    <w:rsid w:val="00876EA3"/>
    <w:rsid w:val="008776F4"/>
    <w:rsid w:val="0088085D"/>
    <w:rsid w:val="008836AF"/>
    <w:rsid w:val="00883D1B"/>
    <w:rsid w:val="008917A0"/>
    <w:rsid w:val="00894001"/>
    <w:rsid w:val="00895E5C"/>
    <w:rsid w:val="0089699E"/>
    <w:rsid w:val="00896B38"/>
    <w:rsid w:val="00897455"/>
    <w:rsid w:val="008A0C62"/>
    <w:rsid w:val="008A1B9B"/>
    <w:rsid w:val="008A234E"/>
    <w:rsid w:val="008A25C0"/>
    <w:rsid w:val="008A2836"/>
    <w:rsid w:val="008A3490"/>
    <w:rsid w:val="008A560B"/>
    <w:rsid w:val="008A5A18"/>
    <w:rsid w:val="008B3B28"/>
    <w:rsid w:val="008B5DAB"/>
    <w:rsid w:val="008B6862"/>
    <w:rsid w:val="008B71AC"/>
    <w:rsid w:val="008B7561"/>
    <w:rsid w:val="008C0BC2"/>
    <w:rsid w:val="008C1FD0"/>
    <w:rsid w:val="008C2CB9"/>
    <w:rsid w:val="008C304F"/>
    <w:rsid w:val="008C557B"/>
    <w:rsid w:val="008D0797"/>
    <w:rsid w:val="008D44B1"/>
    <w:rsid w:val="008D52BC"/>
    <w:rsid w:val="008D63AD"/>
    <w:rsid w:val="008E2A63"/>
    <w:rsid w:val="008E3A23"/>
    <w:rsid w:val="008E3D96"/>
    <w:rsid w:val="008E434E"/>
    <w:rsid w:val="008E53A1"/>
    <w:rsid w:val="008E5A42"/>
    <w:rsid w:val="008E606D"/>
    <w:rsid w:val="008F0169"/>
    <w:rsid w:val="008F2A0E"/>
    <w:rsid w:val="008F3202"/>
    <w:rsid w:val="008F3457"/>
    <w:rsid w:val="008F5AAA"/>
    <w:rsid w:val="0090045A"/>
    <w:rsid w:val="0090214F"/>
    <w:rsid w:val="00902C44"/>
    <w:rsid w:val="00911845"/>
    <w:rsid w:val="00913B7A"/>
    <w:rsid w:val="00914DF2"/>
    <w:rsid w:val="00914E77"/>
    <w:rsid w:val="009153DB"/>
    <w:rsid w:val="00920C0A"/>
    <w:rsid w:val="009213E6"/>
    <w:rsid w:val="0092162E"/>
    <w:rsid w:val="0092288A"/>
    <w:rsid w:val="00922A42"/>
    <w:rsid w:val="0092368B"/>
    <w:rsid w:val="00924A2E"/>
    <w:rsid w:val="0092532B"/>
    <w:rsid w:val="00925F51"/>
    <w:rsid w:val="009266F6"/>
    <w:rsid w:val="00926C77"/>
    <w:rsid w:val="0092751D"/>
    <w:rsid w:val="00930D6A"/>
    <w:rsid w:val="00932C61"/>
    <w:rsid w:val="009339CC"/>
    <w:rsid w:val="0093452E"/>
    <w:rsid w:val="00937374"/>
    <w:rsid w:val="00937BD2"/>
    <w:rsid w:val="0094066A"/>
    <w:rsid w:val="00940947"/>
    <w:rsid w:val="00943FED"/>
    <w:rsid w:val="009440E2"/>
    <w:rsid w:val="00945EE4"/>
    <w:rsid w:val="00950B8E"/>
    <w:rsid w:val="00951923"/>
    <w:rsid w:val="00952EFA"/>
    <w:rsid w:val="009610E2"/>
    <w:rsid w:val="009632CC"/>
    <w:rsid w:val="009636BF"/>
    <w:rsid w:val="00963895"/>
    <w:rsid w:val="009669CC"/>
    <w:rsid w:val="00966AAA"/>
    <w:rsid w:val="00966CFE"/>
    <w:rsid w:val="0097582B"/>
    <w:rsid w:val="00977972"/>
    <w:rsid w:val="00982E16"/>
    <w:rsid w:val="00984A04"/>
    <w:rsid w:val="009857CE"/>
    <w:rsid w:val="00991183"/>
    <w:rsid w:val="00992238"/>
    <w:rsid w:val="00993755"/>
    <w:rsid w:val="00994FAE"/>
    <w:rsid w:val="00997750"/>
    <w:rsid w:val="009A09B6"/>
    <w:rsid w:val="009A0EDB"/>
    <w:rsid w:val="009A5264"/>
    <w:rsid w:val="009A7254"/>
    <w:rsid w:val="009A7667"/>
    <w:rsid w:val="009B0BFA"/>
    <w:rsid w:val="009B4E01"/>
    <w:rsid w:val="009B68DB"/>
    <w:rsid w:val="009C1F40"/>
    <w:rsid w:val="009C5797"/>
    <w:rsid w:val="009C6853"/>
    <w:rsid w:val="009D4AA8"/>
    <w:rsid w:val="009D4F5F"/>
    <w:rsid w:val="009D612C"/>
    <w:rsid w:val="009D736C"/>
    <w:rsid w:val="009D7AE3"/>
    <w:rsid w:val="009D7D5C"/>
    <w:rsid w:val="009E1A7E"/>
    <w:rsid w:val="009E5903"/>
    <w:rsid w:val="009F1E87"/>
    <w:rsid w:val="009F2DBE"/>
    <w:rsid w:val="009F4878"/>
    <w:rsid w:val="009F54A1"/>
    <w:rsid w:val="009F6877"/>
    <w:rsid w:val="009F7DFA"/>
    <w:rsid w:val="00A0313B"/>
    <w:rsid w:val="00A067D0"/>
    <w:rsid w:val="00A07BE5"/>
    <w:rsid w:val="00A148AE"/>
    <w:rsid w:val="00A22712"/>
    <w:rsid w:val="00A23197"/>
    <w:rsid w:val="00A2526D"/>
    <w:rsid w:val="00A26DD3"/>
    <w:rsid w:val="00A31207"/>
    <w:rsid w:val="00A35AFE"/>
    <w:rsid w:val="00A36F75"/>
    <w:rsid w:val="00A404CF"/>
    <w:rsid w:val="00A42B6B"/>
    <w:rsid w:val="00A501D0"/>
    <w:rsid w:val="00A50791"/>
    <w:rsid w:val="00A50FAC"/>
    <w:rsid w:val="00A57E57"/>
    <w:rsid w:val="00A6192C"/>
    <w:rsid w:val="00A61D25"/>
    <w:rsid w:val="00A65960"/>
    <w:rsid w:val="00A6634B"/>
    <w:rsid w:val="00A674E5"/>
    <w:rsid w:val="00A70CB5"/>
    <w:rsid w:val="00A715BD"/>
    <w:rsid w:val="00A77390"/>
    <w:rsid w:val="00A9063B"/>
    <w:rsid w:val="00A944AD"/>
    <w:rsid w:val="00A96FE7"/>
    <w:rsid w:val="00AA11F8"/>
    <w:rsid w:val="00AA1497"/>
    <w:rsid w:val="00AA24DC"/>
    <w:rsid w:val="00AA4719"/>
    <w:rsid w:val="00AA489D"/>
    <w:rsid w:val="00AA4B36"/>
    <w:rsid w:val="00AA4CF3"/>
    <w:rsid w:val="00AA52EF"/>
    <w:rsid w:val="00AA67A8"/>
    <w:rsid w:val="00AB027D"/>
    <w:rsid w:val="00AB052E"/>
    <w:rsid w:val="00AB3436"/>
    <w:rsid w:val="00AB38D9"/>
    <w:rsid w:val="00AB75E6"/>
    <w:rsid w:val="00AB7945"/>
    <w:rsid w:val="00AC4734"/>
    <w:rsid w:val="00AD1461"/>
    <w:rsid w:val="00AD241D"/>
    <w:rsid w:val="00AD5D91"/>
    <w:rsid w:val="00AD7046"/>
    <w:rsid w:val="00AD7052"/>
    <w:rsid w:val="00AD755F"/>
    <w:rsid w:val="00AE0E40"/>
    <w:rsid w:val="00AE0E88"/>
    <w:rsid w:val="00AE5083"/>
    <w:rsid w:val="00AE78D3"/>
    <w:rsid w:val="00AF3242"/>
    <w:rsid w:val="00AF465D"/>
    <w:rsid w:val="00AF60A6"/>
    <w:rsid w:val="00B0096B"/>
    <w:rsid w:val="00B01A23"/>
    <w:rsid w:val="00B01F05"/>
    <w:rsid w:val="00B05570"/>
    <w:rsid w:val="00B06BA3"/>
    <w:rsid w:val="00B079FA"/>
    <w:rsid w:val="00B10395"/>
    <w:rsid w:val="00B10A30"/>
    <w:rsid w:val="00B137E1"/>
    <w:rsid w:val="00B14C66"/>
    <w:rsid w:val="00B16E84"/>
    <w:rsid w:val="00B21BAE"/>
    <w:rsid w:val="00B22C2A"/>
    <w:rsid w:val="00B23733"/>
    <w:rsid w:val="00B30B6F"/>
    <w:rsid w:val="00B3665F"/>
    <w:rsid w:val="00B40071"/>
    <w:rsid w:val="00B43B37"/>
    <w:rsid w:val="00B45024"/>
    <w:rsid w:val="00B45474"/>
    <w:rsid w:val="00B47540"/>
    <w:rsid w:val="00B50D07"/>
    <w:rsid w:val="00B51288"/>
    <w:rsid w:val="00B52037"/>
    <w:rsid w:val="00B5306B"/>
    <w:rsid w:val="00B53675"/>
    <w:rsid w:val="00B56F97"/>
    <w:rsid w:val="00B5798A"/>
    <w:rsid w:val="00B7225C"/>
    <w:rsid w:val="00B739FA"/>
    <w:rsid w:val="00B762EA"/>
    <w:rsid w:val="00B76D36"/>
    <w:rsid w:val="00B94A55"/>
    <w:rsid w:val="00BA37CC"/>
    <w:rsid w:val="00BA3813"/>
    <w:rsid w:val="00BA42DC"/>
    <w:rsid w:val="00BA458A"/>
    <w:rsid w:val="00BA4702"/>
    <w:rsid w:val="00BB37BD"/>
    <w:rsid w:val="00BB7686"/>
    <w:rsid w:val="00BC031C"/>
    <w:rsid w:val="00BC1F35"/>
    <w:rsid w:val="00BC3700"/>
    <w:rsid w:val="00BC5164"/>
    <w:rsid w:val="00BC59AA"/>
    <w:rsid w:val="00BC5E53"/>
    <w:rsid w:val="00BC71EB"/>
    <w:rsid w:val="00BC7DC7"/>
    <w:rsid w:val="00BD46E9"/>
    <w:rsid w:val="00BD53E7"/>
    <w:rsid w:val="00BD5794"/>
    <w:rsid w:val="00BD5CEB"/>
    <w:rsid w:val="00BD661F"/>
    <w:rsid w:val="00BE084B"/>
    <w:rsid w:val="00BE14DF"/>
    <w:rsid w:val="00BE3FA1"/>
    <w:rsid w:val="00BE5420"/>
    <w:rsid w:val="00BE557A"/>
    <w:rsid w:val="00BE5B50"/>
    <w:rsid w:val="00BE69CE"/>
    <w:rsid w:val="00BE7C7F"/>
    <w:rsid w:val="00BF04D8"/>
    <w:rsid w:val="00C01A41"/>
    <w:rsid w:val="00C0470A"/>
    <w:rsid w:val="00C0548A"/>
    <w:rsid w:val="00C06423"/>
    <w:rsid w:val="00C07AFB"/>
    <w:rsid w:val="00C11899"/>
    <w:rsid w:val="00C12C48"/>
    <w:rsid w:val="00C13642"/>
    <w:rsid w:val="00C152B0"/>
    <w:rsid w:val="00C2034F"/>
    <w:rsid w:val="00C24596"/>
    <w:rsid w:val="00C25EBA"/>
    <w:rsid w:val="00C30C7C"/>
    <w:rsid w:val="00C326F5"/>
    <w:rsid w:val="00C32B39"/>
    <w:rsid w:val="00C342B0"/>
    <w:rsid w:val="00C36158"/>
    <w:rsid w:val="00C372FF"/>
    <w:rsid w:val="00C40698"/>
    <w:rsid w:val="00C410A5"/>
    <w:rsid w:val="00C41FBC"/>
    <w:rsid w:val="00C44C28"/>
    <w:rsid w:val="00C51F80"/>
    <w:rsid w:val="00C56947"/>
    <w:rsid w:val="00C56CBB"/>
    <w:rsid w:val="00C57180"/>
    <w:rsid w:val="00C60D2E"/>
    <w:rsid w:val="00C61135"/>
    <w:rsid w:val="00C618A8"/>
    <w:rsid w:val="00C66F98"/>
    <w:rsid w:val="00C711B4"/>
    <w:rsid w:val="00C72D26"/>
    <w:rsid w:val="00C7340E"/>
    <w:rsid w:val="00C7532E"/>
    <w:rsid w:val="00C77AA5"/>
    <w:rsid w:val="00C80D83"/>
    <w:rsid w:val="00C80E1E"/>
    <w:rsid w:val="00C81DCA"/>
    <w:rsid w:val="00C83590"/>
    <w:rsid w:val="00C83A8D"/>
    <w:rsid w:val="00C84DAB"/>
    <w:rsid w:val="00C85708"/>
    <w:rsid w:val="00C864C8"/>
    <w:rsid w:val="00C87C15"/>
    <w:rsid w:val="00C93340"/>
    <w:rsid w:val="00C93CBB"/>
    <w:rsid w:val="00C9628D"/>
    <w:rsid w:val="00C96B4F"/>
    <w:rsid w:val="00CA4646"/>
    <w:rsid w:val="00CA47B8"/>
    <w:rsid w:val="00CA6486"/>
    <w:rsid w:val="00CB6EAB"/>
    <w:rsid w:val="00CC017A"/>
    <w:rsid w:val="00CC021A"/>
    <w:rsid w:val="00CC24D1"/>
    <w:rsid w:val="00CC46BA"/>
    <w:rsid w:val="00CC78FB"/>
    <w:rsid w:val="00CC7F55"/>
    <w:rsid w:val="00CD0A62"/>
    <w:rsid w:val="00CD3E2A"/>
    <w:rsid w:val="00CD4FC4"/>
    <w:rsid w:val="00CD54AE"/>
    <w:rsid w:val="00CE0BFE"/>
    <w:rsid w:val="00CE32CE"/>
    <w:rsid w:val="00CE4839"/>
    <w:rsid w:val="00CE5B30"/>
    <w:rsid w:val="00CE66E8"/>
    <w:rsid w:val="00CF49AF"/>
    <w:rsid w:val="00CF6C7E"/>
    <w:rsid w:val="00D04A72"/>
    <w:rsid w:val="00D05583"/>
    <w:rsid w:val="00D067A0"/>
    <w:rsid w:val="00D067CA"/>
    <w:rsid w:val="00D10302"/>
    <w:rsid w:val="00D10D47"/>
    <w:rsid w:val="00D11B33"/>
    <w:rsid w:val="00D11F03"/>
    <w:rsid w:val="00D14DF0"/>
    <w:rsid w:val="00D175F6"/>
    <w:rsid w:val="00D17CDD"/>
    <w:rsid w:val="00D17F72"/>
    <w:rsid w:val="00D2048C"/>
    <w:rsid w:val="00D20AC7"/>
    <w:rsid w:val="00D31A19"/>
    <w:rsid w:val="00D32400"/>
    <w:rsid w:val="00D3533D"/>
    <w:rsid w:val="00D36E6D"/>
    <w:rsid w:val="00D377B6"/>
    <w:rsid w:val="00D407A4"/>
    <w:rsid w:val="00D4214C"/>
    <w:rsid w:val="00D4218E"/>
    <w:rsid w:val="00D42497"/>
    <w:rsid w:val="00D427C2"/>
    <w:rsid w:val="00D435AA"/>
    <w:rsid w:val="00D43A08"/>
    <w:rsid w:val="00D453B2"/>
    <w:rsid w:val="00D45408"/>
    <w:rsid w:val="00D45E83"/>
    <w:rsid w:val="00D47237"/>
    <w:rsid w:val="00D51618"/>
    <w:rsid w:val="00D51811"/>
    <w:rsid w:val="00D538C1"/>
    <w:rsid w:val="00D5468F"/>
    <w:rsid w:val="00D5482C"/>
    <w:rsid w:val="00D561C6"/>
    <w:rsid w:val="00D57B0F"/>
    <w:rsid w:val="00D60E34"/>
    <w:rsid w:val="00D61269"/>
    <w:rsid w:val="00D61289"/>
    <w:rsid w:val="00D62965"/>
    <w:rsid w:val="00D63D12"/>
    <w:rsid w:val="00D66E7C"/>
    <w:rsid w:val="00D67B01"/>
    <w:rsid w:val="00D710A3"/>
    <w:rsid w:val="00D72452"/>
    <w:rsid w:val="00D72BBE"/>
    <w:rsid w:val="00D742D2"/>
    <w:rsid w:val="00D74FB4"/>
    <w:rsid w:val="00D76FD4"/>
    <w:rsid w:val="00D77AAC"/>
    <w:rsid w:val="00D867AF"/>
    <w:rsid w:val="00D915D3"/>
    <w:rsid w:val="00D93CB4"/>
    <w:rsid w:val="00D94EDD"/>
    <w:rsid w:val="00D959A0"/>
    <w:rsid w:val="00D95D3E"/>
    <w:rsid w:val="00DA26A9"/>
    <w:rsid w:val="00DA3507"/>
    <w:rsid w:val="00DA5818"/>
    <w:rsid w:val="00DA7D02"/>
    <w:rsid w:val="00DB2FC8"/>
    <w:rsid w:val="00DB405C"/>
    <w:rsid w:val="00DB5828"/>
    <w:rsid w:val="00DB6F31"/>
    <w:rsid w:val="00DC19E2"/>
    <w:rsid w:val="00DD018C"/>
    <w:rsid w:val="00DD0C76"/>
    <w:rsid w:val="00DD120A"/>
    <w:rsid w:val="00DD37B8"/>
    <w:rsid w:val="00DD69FD"/>
    <w:rsid w:val="00DD7C8F"/>
    <w:rsid w:val="00DE0BFD"/>
    <w:rsid w:val="00DE17AF"/>
    <w:rsid w:val="00DE1936"/>
    <w:rsid w:val="00DE622F"/>
    <w:rsid w:val="00DE62C8"/>
    <w:rsid w:val="00DF0E88"/>
    <w:rsid w:val="00DF639F"/>
    <w:rsid w:val="00DF6501"/>
    <w:rsid w:val="00DF719E"/>
    <w:rsid w:val="00DF7D05"/>
    <w:rsid w:val="00E02DEF"/>
    <w:rsid w:val="00E033AD"/>
    <w:rsid w:val="00E1077F"/>
    <w:rsid w:val="00E13CC6"/>
    <w:rsid w:val="00E14966"/>
    <w:rsid w:val="00E169DB"/>
    <w:rsid w:val="00E17C93"/>
    <w:rsid w:val="00E207F9"/>
    <w:rsid w:val="00E24268"/>
    <w:rsid w:val="00E25B41"/>
    <w:rsid w:val="00E33D7A"/>
    <w:rsid w:val="00E406DB"/>
    <w:rsid w:val="00E43268"/>
    <w:rsid w:val="00E4364D"/>
    <w:rsid w:val="00E51C06"/>
    <w:rsid w:val="00E52ADF"/>
    <w:rsid w:val="00E602F2"/>
    <w:rsid w:val="00E610CC"/>
    <w:rsid w:val="00E6299D"/>
    <w:rsid w:val="00E62CB4"/>
    <w:rsid w:val="00E67D12"/>
    <w:rsid w:val="00E70779"/>
    <w:rsid w:val="00E73725"/>
    <w:rsid w:val="00E75300"/>
    <w:rsid w:val="00E804CC"/>
    <w:rsid w:val="00E804D1"/>
    <w:rsid w:val="00E8057A"/>
    <w:rsid w:val="00E8156D"/>
    <w:rsid w:val="00E8228E"/>
    <w:rsid w:val="00E82341"/>
    <w:rsid w:val="00E86B1F"/>
    <w:rsid w:val="00E87249"/>
    <w:rsid w:val="00E9176F"/>
    <w:rsid w:val="00E91CE8"/>
    <w:rsid w:val="00E96BDB"/>
    <w:rsid w:val="00E96DF8"/>
    <w:rsid w:val="00E97C63"/>
    <w:rsid w:val="00EA02B8"/>
    <w:rsid w:val="00EA08A4"/>
    <w:rsid w:val="00EA2B3D"/>
    <w:rsid w:val="00EA3F54"/>
    <w:rsid w:val="00EA4A41"/>
    <w:rsid w:val="00EA568F"/>
    <w:rsid w:val="00EA652C"/>
    <w:rsid w:val="00EB28EA"/>
    <w:rsid w:val="00EB3BBF"/>
    <w:rsid w:val="00EB4213"/>
    <w:rsid w:val="00EB47E3"/>
    <w:rsid w:val="00EB60C7"/>
    <w:rsid w:val="00EC0082"/>
    <w:rsid w:val="00EC0FC7"/>
    <w:rsid w:val="00EC1A42"/>
    <w:rsid w:val="00EC2360"/>
    <w:rsid w:val="00EC262E"/>
    <w:rsid w:val="00EC6BEB"/>
    <w:rsid w:val="00EC6D79"/>
    <w:rsid w:val="00EC76CE"/>
    <w:rsid w:val="00ED0962"/>
    <w:rsid w:val="00ED1C96"/>
    <w:rsid w:val="00ED25E4"/>
    <w:rsid w:val="00ED27E9"/>
    <w:rsid w:val="00ED4C33"/>
    <w:rsid w:val="00ED4EF4"/>
    <w:rsid w:val="00ED620E"/>
    <w:rsid w:val="00ED71BD"/>
    <w:rsid w:val="00EE02D2"/>
    <w:rsid w:val="00EE06F3"/>
    <w:rsid w:val="00EE0BA9"/>
    <w:rsid w:val="00EE10EA"/>
    <w:rsid w:val="00EE3FB6"/>
    <w:rsid w:val="00EE4C5B"/>
    <w:rsid w:val="00EE512D"/>
    <w:rsid w:val="00EE6D7A"/>
    <w:rsid w:val="00EE7E8A"/>
    <w:rsid w:val="00EF0089"/>
    <w:rsid w:val="00EF2D33"/>
    <w:rsid w:val="00EF3E31"/>
    <w:rsid w:val="00EF3EDC"/>
    <w:rsid w:val="00EF56A0"/>
    <w:rsid w:val="00EF6AA1"/>
    <w:rsid w:val="00EF6BC7"/>
    <w:rsid w:val="00F042CF"/>
    <w:rsid w:val="00F063B8"/>
    <w:rsid w:val="00F0667D"/>
    <w:rsid w:val="00F0749D"/>
    <w:rsid w:val="00F110A0"/>
    <w:rsid w:val="00F13806"/>
    <w:rsid w:val="00F13EB1"/>
    <w:rsid w:val="00F174D4"/>
    <w:rsid w:val="00F20330"/>
    <w:rsid w:val="00F24BD0"/>
    <w:rsid w:val="00F26D1C"/>
    <w:rsid w:val="00F306D2"/>
    <w:rsid w:val="00F32079"/>
    <w:rsid w:val="00F34385"/>
    <w:rsid w:val="00F44955"/>
    <w:rsid w:val="00F50F5F"/>
    <w:rsid w:val="00F56A8C"/>
    <w:rsid w:val="00F61A21"/>
    <w:rsid w:val="00F61DF0"/>
    <w:rsid w:val="00F62B7E"/>
    <w:rsid w:val="00F63FF8"/>
    <w:rsid w:val="00F641C1"/>
    <w:rsid w:val="00F65E0F"/>
    <w:rsid w:val="00F7188F"/>
    <w:rsid w:val="00F755E8"/>
    <w:rsid w:val="00F76BAB"/>
    <w:rsid w:val="00F7790A"/>
    <w:rsid w:val="00F7793F"/>
    <w:rsid w:val="00F809FA"/>
    <w:rsid w:val="00F81EF9"/>
    <w:rsid w:val="00F8202F"/>
    <w:rsid w:val="00F8277F"/>
    <w:rsid w:val="00F85344"/>
    <w:rsid w:val="00F856B9"/>
    <w:rsid w:val="00F90521"/>
    <w:rsid w:val="00F90EF2"/>
    <w:rsid w:val="00F94462"/>
    <w:rsid w:val="00F97707"/>
    <w:rsid w:val="00F97D32"/>
    <w:rsid w:val="00FA264F"/>
    <w:rsid w:val="00FA5674"/>
    <w:rsid w:val="00FA5E10"/>
    <w:rsid w:val="00FA7FAD"/>
    <w:rsid w:val="00FB434B"/>
    <w:rsid w:val="00FB472D"/>
    <w:rsid w:val="00FC51FD"/>
    <w:rsid w:val="00FC7974"/>
    <w:rsid w:val="00FD51AF"/>
    <w:rsid w:val="00FD7EDE"/>
    <w:rsid w:val="00FE0042"/>
    <w:rsid w:val="00FE1C57"/>
    <w:rsid w:val="00FE4B51"/>
    <w:rsid w:val="00FE609B"/>
    <w:rsid w:val="00FF0A78"/>
    <w:rsid w:val="00FF2ABC"/>
    <w:rsid w:val="00FF5FB1"/>
    <w:rsid w:val="00FF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CF6F"/>
  <w15:chartTrackingRefBased/>
  <w15:docId w15:val="{56CFBD1D-BBAD-4B4B-94F8-C18EBDAA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DB"/>
  </w:style>
  <w:style w:type="paragraph" w:styleId="Heading1">
    <w:name w:val="heading 1"/>
    <w:basedOn w:val="Normal"/>
    <w:next w:val="Normal"/>
    <w:link w:val="Heading1Char"/>
    <w:uiPriority w:val="9"/>
    <w:qFormat/>
    <w:rsid w:val="004C0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4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5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3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4385"/>
    <w:rPr>
      <w:i/>
      <w:iCs/>
    </w:rPr>
  </w:style>
  <w:style w:type="character" w:customStyle="1" w:styleId="Heading1Char">
    <w:name w:val="Heading 1 Char"/>
    <w:basedOn w:val="DefaultParagraphFont"/>
    <w:link w:val="Heading1"/>
    <w:uiPriority w:val="9"/>
    <w:rsid w:val="004C0A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1135"/>
    <w:pPr>
      <w:ind w:left="720"/>
      <w:contextualSpacing/>
    </w:pPr>
  </w:style>
  <w:style w:type="character" w:customStyle="1" w:styleId="Heading2Char">
    <w:name w:val="Heading 2 Char"/>
    <w:basedOn w:val="DefaultParagraphFont"/>
    <w:link w:val="Heading2"/>
    <w:uiPriority w:val="9"/>
    <w:rsid w:val="00A42B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44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05E0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E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85344"/>
    <w:pPr>
      <w:widowControl w:val="0"/>
      <w:autoSpaceDE w:val="0"/>
      <w:autoSpaceDN w:val="0"/>
      <w:spacing w:after="0" w:line="240" w:lineRule="auto"/>
    </w:pPr>
    <w:rPr>
      <w:rFonts w:ascii="Times New Roman" w:eastAsia="Times New Roman" w:hAnsi="Times New Roman" w:cs="Times New Roman"/>
    </w:rPr>
  </w:style>
  <w:style w:type="paragraph" w:styleId="NoSpacing">
    <w:name w:val="No Spacing"/>
    <w:uiPriority w:val="1"/>
    <w:qFormat/>
    <w:rsid w:val="00001BB3"/>
    <w:pPr>
      <w:spacing w:after="0" w:line="240" w:lineRule="auto"/>
    </w:pPr>
  </w:style>
  <w:style w:type="paragraph" w:styleId="Revision">
    <w:name w:val="Revision"/>
    <w:hidden/>
    <w:uiPriority w:val="99"/>
    <w:semiHidden/>
    <w:rsid w:val="003903A6"/>
    <w:pPr>
      <w:spacing w:after="0" w:line="240" w:lineRule="auto"/>
    </w:pPr>
  </w:style>
  <w:style w:type="paragraph" w:styleId="Caption">
    <w:name w:val="caption"/>
    <w:basedOn w:val="Normal"/>
    <w:next w:val="Normal"/>
    <w:uiPriority w:val="35"/>
    <w:unhideWhenUsed/>
    <w:qFormat/>
    <w:rsid w:val="007A21F5"/>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692505"/>
    <w:rPr>
      <w:i/>
      <w:iCs/>
      <w:color w:val="4472C4" w:themeColor="accent1"/>
    </w:rPr>
  </w:style>
  <w:style w:type="paragraph" w:styleId="Bibliography">
    <w:name w:val="Bibliography"/>
    <w:basedOn w:val="Normal"/>
    <w:next w:val="Normal"/>
    <w:uiPriority w:val="37"/>
    <w:unhideWhenUsed/>
    <w:rsid w:val="00EE0BA9"/>
  </w:style>
  <w:style w:type="paragraph" w:styleId="Title">
    <w:name w:val="Title"/>
    <w:basedOn w:val="Normal"/>
    <w:next w:val="Normal"/>
    <w:link w:val="TitleChar"/>
    <w:uiPriority w:val="10"/>
    <w:qFormat/>
    <w:rsid w:val="009C1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F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0306">
      <w:bodyDiv w:val="1"/>
      <w:marLeft w:val="0"/>
      <w:marRight w:val="0"/>
      <w:marTop w:val="0"/>
      <w:marBottom w:val="0"/>
      <w:divBdr>
        <w:top w:val="none" w:sz="0" w:space="0" w:color="auto"/>
        <w:left w:val="none" w:sz="0" w:space="0" w:color="auto"/>
        <w:bottom w:val="none" w:sz="0" w:space="0" w:color="auto"/>
        <w:right w:val="none" w:sz="0" w:space="0" w:color="auto"/>
      </w:divBdr>
    </w:div>
    <w:div w:id="168057743">
      <w:bodyDiv w:val="1"/>
      <w:marLeft w:val="0"/>
      <w:marRight w:val="0"/>
      <w:marTop w:val="0"/>
      <w:marBottom w:val="0"/>
      <w:divBdr>
        <w:top w:val="none" w:sz="0" w:space="0" w:color="auto"/>
        <w:left w:val="none" w:sz="0" w:space="0" w:color="auto"/>
        <w:bottom w:val="none" w:sz="0" w:space="0" w:color="auto"/>
        <w:right w:val="none" w:sz="0" w:space="0" w:color="auto"/>
      </w:divBdr>
    </w:div>
    <w:div w:id="265968861">
      <w:bodyDiv w:val="1"/>
      <w:marLeft w:val="0"/>
      <w:marRight w:val="0"/>
      <w:marTop w:val="0"/>
      <w:marBottom w:val="0"/>
      <w:divBdr>
        <w:top w:val="none" w:sz="0" w:space="0" w:color="auto"/>
        <w:left w:val="none" w:sz="0" w:space="0" w:color="auto"/>
        <w:bottom w:val="none" w:sz="0" w:space="0" w:color="auto"/>
        <w:right w:val="none" w:sz="0" w:space="0" w:color="auto"/>
      </w:divBdr>
    </w:div>
    <w:div w:id="320431505">
      <w:bodyDiv w:val="1"/>
      <w:marLeft w:val="0"/>
      <w:marRight w:val="0"/>
      <w:marTop w:val="0"/>
      <w:marBottom w:val="0"/>
      <w:divBdr>
        <w:top w:val="none" w:sz="0" w:space="0" w:color="auto"/>
        <w:left w:val="none" w:sz="0" w:space="0" w:color="auto"/>
        <w:bottom w:val="none" w:sz="0" w:space="0" w:color="auto"/>
        <w:right w:val="none" w:sz="0" w:space="0" w:color="auto"/>
      </w:divBdr>
      <w:divsChild>
        <w:div w:id="196508518">
          <w:marLeft w:val="150"/>
          <w:marRight w:val="0"/>
          <w:marTop w:val="300"/>
          <w:marBottom w:val="300"/>
          <w:divBdr>
            <w:top w:val="none" w:sz="0" w:space="0" w:color="auto"/>
            <w:left w:val="none" w:sz="0" w:space="0" w:color="auto"/>
            <w:bottom w:val="none" w:sz="0" w:space="0" w:color="auto"/>
            <w:right w:val="none" w:sz="0" w:space="0" w:color="auto"/>
          </w:divBdr>
          <w:divsChild>
            <w:div w:id="713775117">
              <w:marLeft w:val="0"/>
              <w:marRight w:val="0"/>
              <w:marTop w:val="0"/>
              <w:marBottom w:val="0"/>
              <w:divBdr>
                <w:top w:val="none" w:sz="0" w:space="0" w:color="auto"/>
                <w:left w:val="none" w:sz="0" w:space="0" w:color="auto"/>
                <w:bottom w:val="none" w:sz="0" w:space="0" w:color="auto"/>
                <w:right w:val="none" w:sz="0" w:space="0" w:color="auto"/>
              </w:divBdr>
            </w:div>
          </w:divsChild>
        </w:div>
        <w:div w:id="1227183017">
          <w:marLeft w:val="450"/>
          <w:marRight w:val="450"/>
          <w:marTop w:val="0"/>
          <w:marBottom w:val="0"/>
          <w:divBdr>
            <w:top w:val="none" w:sz="0" w:space="0" w:color="auto"/>
            <w:left w:val="none" w:sz="0" w:space="0" w:color="auto"/>
            <w:bottom w:val="none" w:sz="0" w:space="0" w:color="auto"/>
            <w:right w:val="none" w:sz="0" w:space="0" w:color="auto"/>
          </w:divBdr>
        </w:div>
      </w:divsChild>
    </w:div>
    <w:div w:id="445539856">
      <w:bodyDiv w:val="1"/>
      <w:marLeft w:val="0"/>
      <w:marRight w:val="0"/>
      <w:marTop w:val="0"/>
      <w:marBottom w:val="0"/>
      <w:divBdr>
        <w:top w:val="none" w:sz="0" w:space="0" w:color="auto"/>
        <w:left w:val="none" w:sz="0" w:space="0" w:color="auto"/>
        <w:bottom w:val="none" w:sz="0" w:space="0" w:color="auto"/>
        <w:right w:val="none" w:sz="0" w:space="0" w:color="auto"/>
      </w:divBdr>
    </w:div>
    <w:div w:id="479034268">
      <w:bodyDiv w:val="1"/>
      <w:marLeft w:val="0"/>
      <w:marRight w:val="0"/>
      <w:marTop w:val="0"/>
      <w:marBottom w:val="0"/>
      <w:divBdr>
        <w:top w:val="none" w:sz="0" w:space="0" w:color="auto"/>
        <w:left w:val="none" w:sz="0" w:space="0" w:color="auto"/>
        <w:bottom w:val="none" w:sz="0" w:space="0" w:color="auto"/>
        <w:right w:val="none" w:sz="0" w:space="0" w:color="auto"/>
      </w:divBdr>
    </w:div>
    <w:div w:id="495072113">
      <w:bodyDiv w:val="1"/>
      <w:marLeft w:val="0"/>
      <w:marRight w:val="0"/>
      <w:marTop w:val="0"/>
      <w:marBottom w:val="0"/>
      <w:divBdr>
        <w:top w:val="none" w:sz="0" w:space="0" w:color="auto"/>
        <w:left w:val="none" w:sz="0" w:space="0" w:color="auto"/>
        <w:bottom w:val="none" w:sz="0" w:space="0" w:color="auto"/>
        <w:right w:val="none" w:sz="0" w:space="0" w:color="auto"/>
      </w:divBdr>
    </w:div>
    <w:div w:id="665746371">
      <w:bodyDiv w:val="1"/>
      <w:marLeft w:val="0"/>
      <w:marRight w:val="0"/>
      <w:marTop w:val="0"/>
      <w:marBottom w:val="0"/>
      <w:divBdr>
        <w:top w:val="none" w:sz="0" w:space="0" w:color="auto"/>
        <w:left w:val="none" w:sz="0" w:space="0" w:color="auto"/>
        <w:bottom w:val="none" w:sz="0" w:space="0" w:color="auto"/>
        <w:right w:val="none" w:sz="0" w:space="0" w:color="auto"/>
      </w:divBdr>
    </w:div>
    <w:div w:id="745541199">
      <w:bodyDiv w:val="1"/>
      <w:marLeft w:val="0"/>
      <w:marRight w:val="0"/>
      <w:marTop w:val="0"/>
      <w:marBottom w:val="0"/>
      <w:divBdr>
        <w:top w:val="none" w:sz="0" w:space="0" w:color="auto"/>
        <w:left w:val="none" w:sz="0" w:space="0" w:color="auto"/>
        <w:bottom w:val="none" w:sz="0" w:space="0" w:color="auto"/>
        <w:right w:val="none" w:sz="0" w:space="0" w:color="auto"/>
      </w:divBdr>
    </w:div>
    <w:div w:id="804784447">
      <w:bodyDiv w:val="1"/>
      <w:marLeft w:val="0"/>
      <w:marRight w:val="0"/>
      <w:marTop w:val="0"/>
      <w:marBottom w:val="0"/>
      <w:divBdr>
        <w:top w:val="none" w:sz="0" w:space="0" w:color="auto"/>
        <w:left w:val="none" w:sz="0" w:space="0" w:color="auto"/>
        <w:bottom w:val="none" w:sz="0" w:space="0" w:color="auto"/>
        <w:right w:val="none" w:sz="0" w:space="0" w:color="auto"/>
      </w:divBdr>
    </w:div>
    <w:div w:id="903639430">
      <w:bodyDiv w:val="1"/>
      <w:marLeft w:val="0"/>
      <w:marRight w:val="0"/>
      <w:marTop w:val="0"/>
      <w:marBottom w:val="0"/>
      <w:divBdr>
        <w:top w:val="none" w:sz="0" w:space="0" w:color="auto"/>
        <w:left w:val="none" w:sz="0" w:space="0" w:color="auto"/>
        <w:bottom w:val="none" w:sz="0" w:space="0" w:color="auto"/>
        <w:right w:val="none" w:sz="0" w:space="0" w:color="auto"/>
      </w:divBdr>
    </w:div>
    <w:div w:id="933131005">
      <w:bodyDiv w:val="1"/>
      <w:marLeft w:val="0"/>
      <w:marRight w:val="0"/>
      <w:marTop w:val="0"/>
      <w:marBottom w:val="0"/>
      <w:divBdr>
        <w:top w:val="none" w:sz="0" w:space="0" w:color="auto"/>
        <w:left w:val="none" w:sz="0" w:space="0" w:color="auto"/>
        <w:bottom w:val="none" w:sz="0" w:space="0" w:color="auto"/>
        <w:right w:val="none" w:sz="0" w:space="0" w:color="auto"/>
      </w:divBdr>
    </w:div>
    <w:div w:id="967278277">
      <w:bodyDiv w:val="1"/>
      <w:marLeft w:val="0"/>
      <w:marRight w:val="0"/>
      <w:marTop w:val="0"/>
      <w:marBottom w:val="0"/>
      <w:divBdr>
        <w:top w:val="none" w:sz="0" w:space="0" w:color="auto"/>
        <w:left w:val="none" w:sz="0" w:space="0" w:color="auto"/>
        <w:bottom w:val="none" w:sz="0" w:space="0" w:color="auto"/>
        <w:right w:val="none" w:sz="0" w:space="0" w:color="auto"/>
      </w:divBdr>
    </w:div>
    <w:div w:id="1029644348">
      <w:bodyDiv w:val="1"/>
      <w:marLeft w:val="0"/>
      <w:marRight w:val="0"/>
      <w:marTop w:val="0"/>
      <w:marBottom w:val="0"/>
      <w:divBdr>
        <w:top w:val="none" w:sz="0" w:space="0" w:color="auto"/>
        <w:left w:val="none" w:sz="0" w:space="0" w:color="auto"/>
        <w:bottom w:val="none" w:sz="0" w:space="0" w:color="auto"/>
        <w:right w:val="none" w:sz="0" w:space="0" w:color="auto"/>
      </w:divBdr>
    </w:div>
    <w:div w:id="1089036095">
      <w:bodyDiv w:val="1"/>
      <w:marLeft w:val="0"/>
      <w:marRight w:val="0"/>
      <w:marTop w:val="0"/>
      <w:marBottom w:val="0"/>
      <w:divBdr>
        <w:top w:val="none" w:sz="0" w:space="0" w:color="auto"/>
        <w:left w:val="none" w:sz="0" w:space="0" w:color="auto"/>
        <w:bottom w:val="none" w:sz="0" w:space="0" w:color="auto"/>
        <w:right w:val="none" w:sz="0" w:space="0" w:color="auto"/>
      </w:divBdr>
    </w:div>
    <w:div w:id="1097753098">
      <w:bodyDiv w:val="1"/>
      <w:marLeft w:val="0"/>
      <w:marRight w:val="0"/>
      <w:marTop w:val="0"/>
      <w:marBottom w:val="0"/>
      <w:divBdr>
        <w:top w:val="none" w:sz="0" w:space="0" w:color="auto"/>
        <w:left w:val="none" w:sz="0" w:space="0" w:color="auto"/>
        <w:bottom w:val="none" w:sz="0" w:space="0" w:color="auto"/>
        <w:right w:val="none" w:sz="0" w:space="0" w:color="auto"/>
      </w:divBdr>
    </w:div>
    <w:div w:id="1111122576">
      <w:bodyDiv w:val="1"/>
      <w:marLeft w:val="0"/>
      <w:marRight w:val="0"/>
      <w:marTop w:val="0"/>
      <w:marBottom w:val="0"/>
      <w:divBdr>
        <w:top w:val="none" w:sz="0" w:space="0" w:color="auto"/>
        <w:left w:val="none" w:sz="0" w:space="0" w:color="auto"/>
        <w:bottom w:val="none" w:sz="0" w:space="0" w:color="auto"/>
        <w:right w:val="none" w:sz="0" w:space="0" w:color="auto"/>
      </w:divBdr>
    </w:div>
    <w:div w:id="1250847569">
      <w:bodyDiv w:val="1"/>
      <w:marLeft w:val="0"/>
      <w:marRight w:val="0"/>
      <w:marTop w:val="0"/>
      <w:marBottom w:val="0"/>
      <w:divBdr>
        <w:top w:val="none" w:sz="0" w:space="0" w:color="auto"/>
        <w:left w:val="none" w:sz="0" w:space="0" w:color="auto"/>
        <w:bottom w:val="none" w:sz="0" w:space="0" w:color="auto"/>
        <w:right w:val="none" w:sz="0" w:space="0" w:color="auto"/>
      </w:divBdr>
    </w:div>
    <w:div w:id="1286354205">
      <w:bodyDiv w:val="1"/>
      <w:marLeft w:val="0"/>
      <w:marRight w:val="0"/>
      <w:marTop w:val="0"/>
      <w:marBottom w:val="0"/>
      <w:divBdr>
        <w:top w:val="none" w:sz="0" w:space="0" w:color="auto"/>
        <w:left w:val="none" w:sz="0" w:space="0" w:color="auto"/>
        <w:bottom w:val="none" w:sz="0" w:space="0" w:color="auto"/>
        <w:right w:val="none" w:sz="0" w:space="0" w:color="auto"/>
      </w:divBdr>
    </w:div>
    <w:div w:id="1526822447">
      <w:bodyDiv w:val="1"/>
      <w:marLeft w:val="0"/>
      <w:marRight w:val="0"/>
      <w:marTop w:val="0"/>
      <w:marBottom w:val="0"/>
      <w:divBdr>
        <w:top w:val="none" w:sz="0" w:space="0" w:color="auto"/>
        <w:left w:val="none" w:sz="0" w:space="0" w:color="auto"/>
        <w:bottom w:val="none" w:sz="0" w:space="0" w:color="auto"/>
        <w:right w:val="none" w:sz="0" w:space="0" w:color="auto"/>
      </w:divBdr>
    </w:div>
    <w:div w:id="1642081469">
      <w:bodyDiv w:val="1"/>
      <w:marLeft w:val="0"/>
      <w:marRight w:val="0"/>
      <w:marTop w:val="0"/>
      <w:marBottom w:val="0"/>
      <w:divBdr>
        <w:top w:val="none" w:sz="0" w:space="0" w:color="auto"/>
        <w:left w:val="none" w:sz="0" w:space="0" w:color="auto"/>
        <w:bottom w:val="none" w:sz="0" w:space="0" w:color="auto"/>
        <w:right w:val="none" w:sz="0" w:space="0" w:color="auto"/>
      </w:divBdr>
    </w:div>
    <w:div w:id="1664506642">
      <w:bodyDiv w:val="1"/>
      <w:marLeft w:val="0"/>
      <w:marRight w:val="0"/>
      <w:marTop w:val="0"/>
      <w:marBottom w:val="0"/>
      <w:divBdr>
        <w:top w:val="none" w:sz="0" w:space="0" w:color="auto"/>
        <w:left w:val="none" w:sz="0" w:space="0" w:color="auto"/>
        <w:bottom w:val="none" w:sz="0" w:space="0" w:color="auto"/>
        <w:right w:val="none" w:sz="0" w:space="0" w:color="auto"/>
      </w:divBdr>
    </w:div>
    <w:div w:id="1665744461">
      <w:bodyDiv w:val="1"/>
      <w:marLeft w:val="0"/>
      <w:marRight w:val="0"/>
      <w:marTop w:val="0"/>
      <w:marBottom w:val="0"/>
      <w:divBdr>
        <w:top w:val="none" w:sz="0" w:space="0" w:color="auto"/>
        <w:left w:val="none" w:sz="0" w:space="0" w:color="auto"/>
        <w:bottom w:val="none" w:sz="0" w:space="0" w:color="auto"/>
        <w:right w:val="none" w:sz="0" w:space="0" w:color="auto"/>
      </w:divBdr>
    </w:div>
    <w:div w:id="1753887972">
      <w:bodyDiv w:val="1"/>
      <w:marLeft w:val="0"/>
      <w:marRight w:val="0"/>
      <w:marTop w:val="0"/>
      <w:marBottom w:val="0"/>
      <w:divBdr>
        <w:top w:val="none" w:sz="0" w:space="0" w:color="auto"/>
        <w:left w:val="none" w:sz="0" w:space="0" w:color="auto"/>
        <w:bottom w:val="none" w:sz="0" w:space="0" w:color="auto"/>
        <w:right w:val="none" w:sz="0" w:space="0" w:color="auto"/>
      </w:divBdr>
    </w:div>
    <w:div w:id="1803428084">
      <w:bodyDiv w:val="1"/>
      <w:marLeft w:val="0"/>
      <w:marRight w:val="0"/>
      <w:marTop w:val="0"/>
      <w:marBottom w:val="0"/>
      <w:divBdr>
        <w:top w:val="none" w:sz="0" w:space="0" w:color="auto"/>
        <w:left w:val="none" w:sz="0" w:space="0" w:color="auto"/>
        <w:bottom w:val="none" w:sz="0" w:space="0" w:color="auto"/>
        <w:right w:val="none" w:sz="0" w:space="0" w:color="auto"/>
      </w:divBdr>
    </w:div>
    <w:div w:id="1811970319">
      <w:bodyDiv w:val="1"/>
      <w:marLeft w:val="0"/>
      <w:marRight w:val="0"/>
      <w:marTop w:val="0"/>
      <w:marBottom w:val="0"/>
      <w:divBdr>
        <w:top w:val="none" w:sz="0" w:space="0" w:color="auto"/>
        <w:left w:val="none" w:sz="0" w:space="0" w:color="auto"/>
        <w:bottom w:val="none" w:sz="0" w:space="0" w:color="auto"/>
        <w:right w:val="none" w:sz="0" w:space="0" w:color="auto"/>
      </w:divBdr>
    </w:div>
    <w:div w:id="1867786409">
      <w:bodyDiv w:val="1"/>
      <w:marLeft w:val="0"/>
      <w:marRight w:val="0"/>
      <w:marTop w:val="0"/>
      <w:marBottom w:val="0"/>
      <w:divBdr>
        <w:top w:val="none" w:sz="0" w:space="0" w:color="auto"/>
        <w:left w:val="none" w:sz="0" w:space="0" w:color="auto"/>
        <w:bottom w:val="none" w:sz="0" w:space="0" w:color="auto"/>
        <w:right w:val="none" w:sz="0" w:space="0" w:color="auto"/>
      </w:divBdr>
    </w:div>
    <w:div w:id="1970815070">
      <w:bodyDiv w:val="1"/>
      <w:marLeft w:val="0"/>
      <w:marRight w:val="0"/>
      <w:marTop w:val="0"/>
      <w:marBottom w:val="0"/>
      <w:divBdr>
        <w:top w:val="none" w:sz="0" w:space="0" w:color="auto"/>
        <w:left w:val="none" w:sz="0" w:space="0" w:color="auto"/>
        <w:bottom w:val="none" w:sz="0" w:space="0" w:color="auto"/>
        <w:right w:val="none" w:sz="0" w:space="0" w:color="auto"/>
      </w:divBdr>
    </w:div>
    <w:div w:id="1980307543">
      <w:bodyDiv w:val="1"/>
      <w:marLeft w:val="0"/>
      <w:marRight w:val="0"/>
      <w:marTop w:val="0"/>
      <w:marBottom w:val="0"/>
      <w:divBdr>
        <w:top w:val="none" w:sz="0" w:space="0" w:color="auto"/>
        <w:left w:val="none" w:sz="0" w:space="0" w:color="auto"/>
        <w:bottom w:val="none" w:sz="0" w:space="0" w:color="auto"/>
        <w:right w:val="none" w:sz="0" w:space="0" w:color="auto"/>
      </w:divBdr>
    </w:div>
    <w:div w:id="2040275288">
      <w:bodyDiv w:val="1"/>
      <w:marLeft w:val="0"/>
      <w:marRight w:val="0"/>
      <w:marTop w:val="0"/>
      <w:marBottom w:val="0"/>
      <w:divBdr>
        <w:top w:val="none" w:sz="0" w:space="0" w:color="auto"/>
        <w:left w:val="none" w:sz="0" w:space="0" w:color="auto"/>
        <w:bottom w:val="none" w:sz="0" w:space="0" w:color="auto"/>
        <w:right w:val="none" w:sz="0" w:space="0" w:color="auto"/>
      </w:divBdr>
    </w:div>
    <w:div w:id="2126923162">
      <w:bodyDiv w:val="1"/>
      <w:marLeft w:val="0"/>
      <w:marRight w:val="0"/>
      <w:marTop w:val="0"/>
      <w:marBottom w:val="0"/>
      <w:divBdr>
        <w:top w:val="none" w:sz="0" w:space="0" w:color="auto"/>
        <w:left w:val="none" w:sz="0" w:space="0" w:color="auto"/>
        <w:bottom w:val="none" w:sz="0" w:space="0" w:color="auto"/>
        <w:right w:val="none" w:sz="0" w:space="0" w:color="auto"/>
      </w:divBdr>
    </w:div>
    <w:div w:id="213590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Rit22</b:Tag>
    <b:SourceType>InternetSite</b:SourceType>
    <b:Guid>{F7965636-6F59-45B4-A38F-ABE4F67D63D1}</b:Guid>
    <b:Title>Forbes Advisor</b:Title>
    <b:Year>2022</b:Year>
    <b:Month>2</b:Month>
    <b:Day>21</b:Day>
    <b:URL>https://www.forbes.com/advisor/business/what-is-asset-tracking/</b:URL>
    <b:Author>
      <b:Author>
        <b:NameList>
          <b:Person>
            <b:Last>Rittenberg</b:Last>
            <b:First>Julia</b:First>
          </b:Person>
          <b:Person>
            <b:Last>Bottorff</b:Last>
            <b:First>Cassie</b:First>
          </b:Person>
        </b:NameList>
      </b:Author>
    </b:Author>
    <b:RefOrder>19</b:RefOrder>
  </b:Source>
  <b:Source>
    <b:Tag>His19</b:Tag>
    <b:SourceType>InternetSite</b:SourceType>
    <b:Guid>{80872CFB-124D-407F-A948-4CFA41287374}</b:Guid>
    <b:Title>History and Creation of the Framework</b:Title>
    <b:InternetSiteTitle>NIST</b:InternetSiteTitle>
    <b:Year>2019</b:Year>
    <b:Month>11</b:Month>
    <b:Day>21</b:Day>
    <b:URL>https://www.nist.gov/cyberframework/online-learning/history-and-creation-framework</b:URL>
    <b:RefOrder>1</b:RefOrder>
  </b:Source>
  <b:Source>
    <b:Tag>MEP18</b:Tag>
    <b:SourceType>InternetSite</b:SourceType>
    <b:Guid>{702C3384-8FF5-4C85-9C27-26495F864BCE}</b:Guid>
    <b:Title>MEP Centers Aid Manufacturers on Cybersecurity</b:Title>
    <b:InternetSiteTitle>NIST</b:InternetSiteTitle>
    <b:Year>2018</b:Year>
    <b:Month>5</b:Month>
    <b:Day>3</b:Day>
    <b:URL>https://www.nist.gov/news-events/news/2018/05/mep-centers-aid-manufacturers-cybersecurity</b:URL>
    <b:RefOrder>2</b:RefOrder>
  </b:Source>
  <b:Source>
    <b:Tag>Acc07</b:Tag>
    <b:SourceType>InternetSite</b:SourceType>
    <b:Guid>{2D62C6C2-D970-4610-8CAF-148AF99D974F}</b:Guid>
    <b:Title>Acceptable Use Policies: A Handbook</b:Title>
    <b:InternetSiteTitle> Virginia Department of Education</b:InternetSiteTitle>
    <b:Year>2007</b:Year>
    <b:Month>3</b:Month>
    <b:Day>31</b:Day>
    <b:URL>https://web.archive.org/web/20070331155213/http://www.pen.k12.va.us/VDOE/Technology/AUP/home.shtml</b:URL>
    <b:RefOrder>4</b:RefOrder>
  </b:Source>
  <b:Source>
    <b:Tag>Eri</b:Tag>
    <b:SourceType>InternetSite</b:SourceType>
    <b:Guid>{D0BFF45E-0D91-40B3-ABA5-0C71DCFDF774}</b:Guid>
    <b:Author>
      <b:Author>
        <b:NameList>
          <b:Person>
            <b:Last>Chickowski</b:Last>
            <b:First>Ericka</b:First>
          </b:Person>
        </b:NameList>
      </b:Author>
    </b:Author>
    <b:Title>BYOD security explained: what is a BYOD policy?</b:Title>
    <b:InternetSiteTitle>AT&amp;T Business</b:InternetSiteTitle>
    <b:URL>https://cybersecurity.att.com/blogs/security-essentials/bring-your-own-device-security-explained</b:URL>
    <b:Year>2020</b:Year>
    <b:Month>9</b:Month>
    <b:Day>24</b:Day>
    <b:RefOrder>5</b:RefOrder>
  </b:Source>
  <b:Source>
    <b:Tag>Nat18</b:Tag>
    <b:SourceType>ElectronicSource</b:SourceType>
    <b:Guid>{25E38733-D3AA-4001-9459-BEFF0AB1D8DC}</b:Guid>
    <b:Title>Framework for Improving Critical Infrastructure Cybersecurity</b:Title>
    <b:Year>2018</b:Year>
    <b:Month>4</b:Month>
    <b:Day>16</b:Day>
    <b:Author>
      <b:Author>
        <b:Corporate>National Institute of Standards and Technology</b:Corporate>
      </b:Author>
    </b:Author>
    <b:RefOrder>3</b:RefOrder>
  </b:Source>
  <b:Source>
    <b:Tag>PCI22</b:Tag>
    <b:SourceType>ElectronicSource</b:SourceType>
    <b:Guid>{DF0A213B-26F1-48C8-9F89-85C414D34EC1}</b:Guid>
    <b:Title>Payment Card Industry Data Security Standard: Requirements and Testing Procedures, v4.0</b:Title>
    <b:Year>2022</b:Year>
    <b:Month>03</b:Month>
    <b:Author>
      <b:Author>
        <b:Corporate>PCI Security Standards Council, LLC</b:Corporate>
      </b:Author>
    </b:Author>
    <b:RefOrder>6</b:RefOrder>
  </b:Source>
  <b:Source>
    <b:Tag>Eur22</b:Tag>
    <b:SourceType>InternetSite</b:SourceType>
    <b:Guid>{96AF91E3-016E-4B12-9996-E78F1AB5834D}</b:Guid>
    <b:Title>GDPR Compliance Checklist</b:Title>
    <b:Year>2022</b:Year>
    <b:Author>
      <b:Author>
        <b:Corporate>European Union</b:Corporate>
      </b:Author>
    </b:Author>
    <b:InternetSiteTitle>gdpr.eu</b:InternetSiteTitle>
    <b:Month>08</b:Month>
    <b:Day>13</b:Day>
    <b:URL>https://gdpr.eu/checklist/</b:URL>
    <b:RefOrder>8</b:RefOrder>
  </b:Source>
  <b:Source>
    <b:Tag>THE16</b:Tag>
    <b:SourceType>JournalArticle</b:SourceType>
    <b:Guid>{B6CDA864-820A-49D5-B477-2762B1777317}</b:Guid>
    <b:Title>REGULATION (EU) 2016/679 OF THE EUROPEAN PARLIAMENT AND OF THE COUNCIL </b:Title>
    <b:Year>2016</b:Year>
    <b:Author>
      <b:Author>
        <b:Corporate>THE EUROPEAN PARLIAMENT AND THE COUNCIL OF THE EUROPEAN UNION</b:Corporate>
      </b:Author>
    </b:Author>
    <b:JournalName>Offical Journal of the European Union</b:JournalName>
    <b:RefOrder>7</b:RefOrder>
  </b:Source>
  <b:Source>
    <b:Tag>GDP22</b:Tag>
    <b:SourceType>InternetSite</b:SourceType>
    <b:Guid>{60AC6E6B-1510-4875-BA25-ED5564E99AB9}</b:Guid>
    <b:Title>Art. 6 GDPR - Laefulness of processing</b:Title>
    <b:Year>2022</b:Year>
    <b:Author>
      <b:Author>
        <b:Corporate>GDPR</b:Corporate>
      </b:Author>
    </b:Author>
    <b:InternetSiteTitle>GDPR.eu</b:InternetSiteTitle>
    <b:Month>08</b:Month>
    <b:Day>15</b:Day>
    <b:URL>https://gdpr.eu/article-6-how-to-process-personal-data-legally/</b:URL>
    <b:RefOrder>9</b:RefOrder>
  </b:Source>
  <b:Source>
    <b:Tag>GDP221</b:Tag>
    <b:SourceType>InternetSite</b:SourceType>
    <b:Guid>{C0F40EE0-8C33-4EBC-B23B-3DC5BEEC6647}</b:Guid>
    <b:Author>
      <b:Author>
        <b:Corporate>GDPR</b:Corporate>
      </b:Author>
    </b:Author>
    <b:Title>Art. 12 - Transparent information, communication and modalities for the exercise of the rights of the data subject</b:Title>
    <b:InternetSiteTitle>GDPR</b:InternetSiteTitle>
    <b:Year>2022</b:Year>
    <b:Month>08</b:Month>
    <b:Day>16</b:Day>
    <b:URL>https://gdpr.eu/article-12-how-controllers-should-provide-personal-data-to-the-subject/</b:URL>
    <b:RefOrder>10</b:RefOrder>
  </b:Source>
  <b:Source>
    <b:Tag>GDP222</b:Tag>
    <b:SourceType>InternetSite</b:SourceType>
    <b:Guid>{FD138C6F-89DD-4FBB-B63F-C7071012533B}</b:Guid>
    <b:Author>
      <b:Author>
        <b:Corporate>GDPR</b:Corporate>
      </b:Author>
    </b:Author>
    <b:Title>Art. 5 GDPR - Principles relating to processing of personal data</b:Title>
    <b:InternetSiteTitle>GDPR</b:InternetSiteTitle>
    <b:Year>2022</b:Year>
    <b:Month>08</b:Month>
    <b:Day>16</b:Day>
    <b:URL>https://gdpr.eu/article-5-how-to-process-personal-data/</b:URL>
    <b:RefOrder>11</b:RefOrder>
  </b:Source>
  <b:Source>
    <b:Tag>GDP223</b:Tag>
    <b:SourceType>InternetSite</b:SourceType>
    <b:Guid>{5D4C3DC5-C899-4212-80EB-5250F14B1F5D}</b:Guid>
    <b:Author>
      <b:Author>
        <b:Corporate>GDPR</b:Corporate>
      </b:Author>
    </b:Author>
    <b:Title>Art. 35 GDPR - Data protection impact assessment</b:Title>
    <b:InternetSiteTitle>GDPR</b:InternetSiteTitle>
    <b:Year>2022</b:Year>
    <b:Month>08</b:Month>
    <b:Day>17</b:Day>
    <b:URL>https://gdpr.eu/article-35-impact-assessment/</b:URL>
    <b:RefOrder>12</b:RefOrder>
  </b:Source>
  <b:Source>
    <b:Tag>Off22</b:Tag>
    <b:SourceType>InternetSite</b:SourceType>
    <b:Guid>{544E87A7-CCF4-4CDA-A584-261847EA9130}</b:Guid>
    <b:Title>Summary of the HIPAA Privacy Rule</b:Title>
    <b:Year>2022</b:Year>
    <b:Month>08</b:Month>
    <b:Day>22</b:Day>
    <b:Author>
      <b:Author>
        <b:Corporate>Office for Civil Rights (OCR)</b:Corporate>
      </b:Author>
    </b:Author>
    <b:InternetSiteTitle>HHS.gov</b:InternetSiteTitle>
    <b:URL>https://www.hhs.gov/hipaa/for-professionals/privacy/laws-regulations/index.html</b:URL>
    <b:RefOrder>14</b:RefOrder>
  </b:Source>
  <b:Source>
    <b:Tag>Off221</b:Tag>
    <b:SourceType>InternetSite</b:SourceType>
    <b:Guid>{86FC8D97-1CF2-43FE-B7E9-48C36CCE8E4A}</b:Guid>
    <b:Author>
      <b:Author>
        <b:Corporate>Office for Civil Rights (OCR)</b:Corporate>
      </b:Author>
    </b:Author>
    <b:Title>HIPAA for Professionals</b:Title>
    <b:InternetSiteTitle>HHS.gov</b:InternetSiteTitle>
    <b:Year>2022</b:Year>
    <b:Month>08</b:Month>
    <b:Day>20</b:Day>
    <b:URL>https://www.hhs.gov/hipaa/for-professionals/index.html</b:URL>
    <b:RefOrder>13</b:RefOrder>
  </b:Source>
  <b:Source>
    <b:Tag>Off222</b:Tag>
    <b:SourceType>InternetSite</b:SourceType>
    <b:Guid>{360887DA-9E56-413E-B65D-2DA135C073E0}</b:Guid>
    <b:Author>
      <b:Author>
        <b:Corporate>Office of the National Coordinator for Health Information Technology (ONC)</b:Corporate>
      </b:Author>
    </b:Author>
    <b:Title>Security Risk Assessment Tool</b:Title>
    <b:InternetSiteTitle>HealthIT.gov</b:InternetSiteTitle>
    <b:Year>2022</b:Year>
    <b:Month>08</b:Month>
    <b:Day>23</b:Day>
    <b:URL>https://www.healthit.gov/topic/privacy-security-and-hipaa/security-risk-assessment-tool</b:URL>
    <b:RefOrder>15</b:RefOrder>
  </b:Source>
  <b:Source>
    <b:Tag>NIS22</b:Tag>
    <b:SourceType>InternetSite</b:SourceType>
    <b:Guid>{BFB03F37-977A-4829-9DD5-CC95D913D2AF}</b:Guid>
    <b:Author>
      <b:Author>
        <b:Corporate>NIST</b:Corporate>
      </b:Author>
    </b:Author>
    <b:Title>Security Content Automation Protocol</b:Title>
    <b:InternetSiteTitle>CSRC</b:InternetSiteTitle>
    <b:Year>2022</b:Year>
    <b:Month>08</b:Month>
    <b:Day>23</b:Day>
    <b:URL>https://csrc.nist.gov/projects/security-content-automation-protocol/hipaa</b:URL>
    <b:RefOrder>16</b:RefOrder>
  </b:Source>
  <b:Source>
    <b:Tag>USD</b:Tag>
    <b:SourceType>InternetSite</b:SourceType>
    <b:Guid>{AFC99D61-B45B-4210-B6E6-83718575B4D4}</b:Guid>
    <b:Author>
      <b:Author>
        <b:Corporate>Office for Civil Rights (OCR)</b:Corporate>
      </b:Author>
    </b:Author>
    <b:Title>Breach Notification Rule</b:Title>
    <b:InternetSiteTitle>HHS.gov</b:InternetSiteTitle>
    <b:URL>https://www.hhs.gov/hipaa/for-professionals/breach-notification/index.html</b:URL>
    <b:Year>2022</b:Year>
    <b:Month>08</b:Month>
    <b:Day>24</b:Day>
    <b:RefOrder>17</b:RefOrder>
  </b:Source>
  <b:Source>
    <b:Tag>Nat22</b:Tag>
    <b:SourceType>InternetSite</b:SourceType>
    <b:Guid>{5826AD1E-2C19-474D-AEF7-91BF1D919773}</b:Guid>
    <b:Author>
      <b:Author>
        <b:Corporate>National Archives</b:Corporate>
      </b:Author>
    </b:Author>
    <b:Title>45 CFR Part 160</b:Title>
    <b:InternetSiteTitle>Code of Federal Regulations</b:InternetSiteTitle>
    <b:Year>2022</b:Year>
    <b:Month>08</b:Month>
    <b:Day>23</b:Day>
    <b:URL>https://www.ecfr.gov/current/title-45/subtitle-A/subchapter-C/part-160</b:URL>
    <b:RefOrder>18</b:RefOrder>
  </b:Source>
</b:Sources>
</file>

<file path=customXml/itemProps1.xml><?xml version="1.0" encoding="utf-8"?>
<ds:datastoreItem xmlns:ds="http://schemas.openxmlformats.org/officeDocument/2006/customXml" ds:itemID="{1B0D9EAF-2538-4A04-AA2E-43A8DB728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14</Pages>
  <Words>4537</Words>
  <Characters>25863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Yates</dc:creator>
  <cp:keywords/>
  <dc:description/>
  <cp:lastModifiedBy>Damian Yates</cp:lastModifiedBy>
  <cp:revision>5</cp:revision>
  <dcterms:created xsi:type="dcterms:W3CDTF">2022-08-26T03:56:00Z</dcterms:created>
  <dcterms:modified xsi:type="dcterms:W3CDTF">2022-08-28T03:10:00Z</dcterms:modified>
</cp:coreProperties>
</file>