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480" w:lineRule="auto"/>
        <w:ind w:left="-20" w:right="-20" w:firstLine="0"/>
        <w:rPr/>
      </w:pPr>
      <w:r w:rsidDel="00000000" w:rsidR="00000000" w:rsidRPr="00000000">
        <w:rPr>
          <w:rFonts w:ascii="Times New Roman" w:cs="Times New Roman" w:eastAsia="Times New Roman" w:hAnsi="Times New Roman"/>
          <w:sz w:val="24"/>
          <w:szCs w:val="24"/>
          <w:rtl w:val="0"/>
        </w:rPr>
        <w:t xml:space="preserve">Harvey Rosen</w:t>
      </w:r>
      <w:r w:rsidDel="00000000" w:rsidR="00000000" w:rsidRPr="00000000">
        <w:rPr>
          <w:rtl w:val="0"/>
        </w:rPr>
      </w:r>
    </w:p>
    <w:p w:rsidR="00000000" w:rsidDel="00000000" w:rsidP="00000000" w:rsidRDefault="00000000" w:rsidRPr="00000000" w14:paraId="00000002">
      <w:pPr>
        <w:spacing w:after="0" w:line="480" w:lineRule="auto"/>
        <w:ind w:left="-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Julie Smith</w:t>
      </w:r>
    </w:p>
    <w:p w:rsidR="00000000" w:rsidDel="00000000" w:rsidP="00000000" w:rsidRDefault="00000000" w:rsidRPr="00000000" w14:paraId="00000003">
      <w:pPr>
        <w:spacing w:after="0" w:line="480" w:lineRule="auto"/>
        <w:ind w:left="-20" w:right="-20" w:firstLine="0"/>
        <w:rPr/>
      </w:pPr>
      <w:r w:rsidDel="00000000" w:rsidR="00000000" w:rsidRPr="00000000">
        <w:rPr>
          <w:rFonts w:ascii="Times New Roman" w:cs="Times New Roman" w:eastAsia="Times New Roman" w:hAnsi="Times New Roman"/>
          <w:sz w:val="24"/>
          <w:szCs w:val="24"/>
          <w:rtl w:val="0"/>
        </w:rPr>
        <w:t xml:space="preserve">Human Resources Manager</w:t>
      </w:r>
      <w:r w:rsidDel="00000000" w:rsidR="00000000" w:rsidRPr="00000000">
        <w:rPr>
          <w:rtl w:val="0"/>
        </w:rPr>
      </w:r>
    </w:p>
    <w:p w:rsidR="00000000" w:rsidDel="00000000" w:rsidP="00000000" w:rsidRDefault="00000000" w:rsidRPr="00000000" w14:paraId="00000004">
      <w:pPr>
        <w:spacing w:after="0" w:line="480" w:lineRule="auto"/>
        <w:ind w:left="-20" w:right="-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March 2025</w:t>
      </w:r>
    </w:p>
    <w:p w:rsidR="00000000" w:rsidDel="00000000" w:rsidP="00000000" w:rsidRDefault="00000000" w:rsidRPr="00000000" w14:paraId="00000005">
      <w:pPr>
        <w:spacing w:after="0" w:line="480" w:lineRule="auto"/>
        <w:ind w:left="-20" w:right="-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Companies Push Prices Higher, Protecting Profits</w:t>
      </w:r>
    </w:p>
    <w:p w:rsidR="00000000" w:rsidDel="00000000" w:rsidP="00000000" w:rsidRDefault="00000000" w:rsidRPr="00000000" w14:paraId="00000006">
      <w:pPr>
        <w:spacing w:after="0" w:line="480" w:lineRule="auto"/>
        <w:ind w:left="-20" w:right="-20" w:firstLine="720"/>
        <w:rPr>
          <w:rFonts w:ascii="Times New Roman" w:cs="Times New Roman" w:eastAsia="Times New Roman" w:hAnsi="Times New Roman"/>
          <w:color w:val="000000"/>
          <w:sz w:val="24"/>
          <w:szCs w:val="24"/>
        </w:rPr>
      </w:pPr>
      <w:bookmarkStart w:colFirst="0" w:colLast="0" w:name="_gtkp1kpjjq2m" w:id="0"/>
      <w:bookmarkEnd w:id="0"/>
      <w:r w:rsidDel="00000000" w:rsidR="00000000" w:rsidRPr="00000000">
        <w:rPr>
          <w:rFonts w:ascii="Times New Roman" w:cs="Times New Roman" w:eastAsia="Times New Roman" w:hAnsi="Times New Roman"/>
          <w:color w:val="000000"/>
          <w:sz w:val="24"/>
          <w:szCs w:val="24"/>
          <w:rtl w:val="0"/>
        </w:rPr>
        <w:t xml:space="preserve">Some of the world’s biggest companies have said they do not plan to change course and will continue increasing prices or keep them at elevated levels for the foreseeable future.</w:t>
      </w:r>
    </w:p>
    <w:p w:rsidR="00000000" w:rsidDel="00000000" w:rsidP="00000000" w:rsidRDefault="00000000" w:rsidRPr="00000000" w14:paraId="00000007">
      <w:pPr>
        <w:spacing w:after="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That strategy has cushioned corporate profits. And it could keep inflation robust, contributing to the very pressures used to justify surging prices.</w:t>
      </w:r>
    </w:p>
    <w:p w:rsidR="00000000" w:rsidDel="00000000" w:rsidP="00000000" w:rsidRDefault="00000000" w:rsidRPr="00000000" w14:paraId="00000008">
      <w:pPr>
        <w:spacing w:after="0" w:line="48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Rising Interest Rates</w:t>
      </w:r>
    </w:p>
    <w:p w:rsidR="00000000" w:rsidDel="00000000" w:rsidP="00000000" w:rsidRDefault="00000000" w:rsidRPr="00000000" w14:paraId="00000009">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a result, some economists warn policymakers that the Federal Reserve may feel compelled to keep raising interest rates, or at least not lower them, increasing the likelihood and severity of an economic downturn.</w:t>
      </w:r>
    </w:p>
    <w:p w:rsidR="00000000" w:rsidDel="00000000" w:rsidP="00000000" w:rsidRDefault="00000000" w:rsidRPr="00000000" w14:paraId="0000000A">
      <w:pPr>
        <w:spacing w:after="0" w:line="48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Solvent Counters Increased Costs</w:t>
      </w:r>
    </w:p>
    <w:p w:rsidR="00000000" w:rsidDel="00000000" w:rsidP="00000000" w:rsidRDefault="00000000" w:rsidRPr="00000000" w14:paraId="0000000B">
      <w:pPr>
        <w:spacing w:after="0" w:line="480" w:lineRule="auto"/>
        <w:ind w:firstLine="720"/>
        <w:rPr>
          <w:rFonts w:ascii="Times New Roman" w:cs="Times New Roman" w:eastAsia="Times New Roman" w:hAnsi="Times New Roman"/>
          <w:color w:val="000000"/>
          <w:sz w:val="24"/>
          <w:szCs w:val="24"/>
        </w:rPr>
      </w:pPr>
      <w:bookmarkStart w:colFirst="0" w:colLast="0" w:name="_ruuzey65j4pp" w:id="1"/>
      <w:bookmarkEnd w:id="1"/>
      <w:r w:rsidDel="00000000" w:rsidR="00000000" w:rsidRPr="00000000">
        <w:rPr>
          <w:rFonts w:ascii="Times New Roman" w:cs="Times New Roman" w:eastAsia="Times New Roman" w:hAnsi="Times New Roman"/>
          <w:color w:val="000000"/>
          <w:sz w:val="24"/>
          <w:szCs w:val="24"/>
          <w:rtl w:val="0"/>
        </w:rPr>
        <w:t xml:space="preserve">John Houston, the company’s chief financial officer, said in February that Solvent had raised its prices by enough to buffer further cost pressures in 2023. At the end of April, the company reported that it had raised the average price across its snacks and beverages by 16% in the first three months of the year. That added to a similar price increase in the fourth quarter of 2022 and increased its profit margin.</w:t>
      </w:r>
    </w:p>
    <w:p w:rsidR="00000000" w:rsidDel="00000000" w:rsidP="00000000" w:rsidRDefault="00000000" w:rsidRPr="00000000" w14:paraId="0000000C">
      <w:pPr>
        <w:spacing w:after="0" w:line="480" w:lineRule="auto"/>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color w:val="000000"/>
          <w:sz w:val="24"/>
          <w:szCs w:val="24"/>
          <w:u w:val="single"/>
          <w:rtl w:val="0"/>
        </w:rPr>
        <w:t xml:space="preserve">The Producer and Consumer Price Indexes</w:t>
      </w:r>
    </w:p>
    <w:p w:rsidR="00000000" w:rsidDel="00000000" w:rsidP="00000000" w:rsidRDefault="00000000" w:rsidRPr="00000000" w14:paraId="0000000D">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But those go-to rationales for elevating prices, he added, are now receding. The Producer Price Index, which measures the prices that businesses pay for goods and services before they are sold to consumers, reached a high of 11.7% last spring. That rate plunged to 2.3% for the 12 months through April.</w:t>
      </w:r>
    </w:p>
    <w:p w:rsidR="00000000" w:rsidDel="00000000" w:rsidP="00000000" w:rsidRDefault="00000000" w:rsidRPr="00000000" w14:paraId="0000000E">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Other corporations have found that fewer sales at higher prices have still helped them earn bigger profits, a dynamic that Mr. Stone of Pabor has coined “price over volume.”</w:t>
      </w:r>
    </w:p>
    <w:p w:rsidR="00000000" w:rsidDel="00000000" w:rsidP="00000000" w:rsidRDefault="00000000" w:rsidRPr="00000000" w14:paraId="0000000F">
      <w:pPr>
        <w:spacing w:after="0" w:line="48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Galaxy, Inc., which in addition to commanding a roughly 40% toothpaste market sells kitchen soap and other goods, had a standout first quarter. Its operating profit for the year through March rose 6% from a year earlier — the result of a 12% increase in prices even as volume declined by 2%.</w:t>
      </w:r>
    </w:p>
    <w:p w:rsidR="00000000" w:rsidDel="00000000" w:rsidP="00000000" w:rsidRDefault="00000000" w:rsidRPr="00000000" w14:paraId="00000010">
      <w:pPr>
        <w:spacing w:after="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recent bonanza for corporate profits, however, may soon start to fizzle.</w:t>
      </w:r>
    </w:p>
    <w:p w:rsidR="00000000" w:rsidDel="00000000" w:rsidP="00000000" w:rsidRDefault="00000000" w:rsidRPr="00000000" w14:paraId="00000011">
      <w:pPr>
        <w:spacing w:line="480" w:lineRule="auto"/>
        <w:rPr/>
      </w:pPr>
      <w:r w:rsidDel="00000000" w:rsidR="00000000" w:rsidRPr="00000000">
        <w:rPr>
          <w:rtl w:val="0"/>
        </w:rPr>
      </w:r>
    </w:p>
    <w:sectPr>
      <w:headerReference r:id="rId6" w:type="default"/>
      <w:footerReference r:id="rId7" w:type="defaul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4</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 ID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 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Rosen 2</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0x010100A25C34E58233B6478AAB3FB0C7EA3842</vt:lpwstr>
  </property>
</Properties>
</file>