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7A00"/>
          <w:sz w:val="52"/>
        </w:rPr>
        <w:t>Gulf Ad Intelligence</w:t>
      </w:r>
    </w:p>
    <w:p>
      <w:r>
        <w:rPr>
          <w:color w:val="555848"/>
          <w:sz w:val="25"/>
        </w:rPr>
        <w:t>How the ad-gathering logic works, and the type of ads we focus on</w:t>
      </w:r>
    </w:p>
    <w:p>
      <w:r>
        <w:rPr>
          <w:i/>
        </w:rPr>
        <w:t>Technical logic note</w:t>
      </w:r>
    </w:p>
    <w:p>
      <w:pPr>
        <w:shd w:val="clear" w:color="auto" w:fill="EDF6D6"/>
      </w:pPr>
      <w:r>
        <w:rPr>
          <w:b/>
          <w:color w:val="2A3A00"/>
          <w:sz w:val="21"/>
        </w:rPr>
        <w:t>Core principle:  We NEVER create or generate ads. We gather the real ads that competitors are already running on THEIR OWN official pages/accounts, focus on the ones that look paid/promotional, and analyse them.</w:t>
      </w:r>
    </w:p>
    <w:p>
      <w:pPr>
        <w:pStyle w:val="Heading1"/>
      </w:pPr>
      <w:r>
        <w:t>1. What kind of ads we focus on</w:t>
      </w:r>
    </w:p>
    <w:p>
      <w:r>
        <w:t>Think of how a shampoo brand like Pond's runs ads on its own Instagram and Facebook pages — product launches, offers, promo videos. We gather exactly that: a company's own paid / promotional creatives, pulled from its own accounts. We do NOT collect third-party mentions, news, reviews, or reseller listings.</w:t>
      </w:r>
    </w:p>
    <w:p>
      <w:pPr>
        <w:pStyle w:val="ListBullet"/>
      </w:pPr>
      <w:r>
        <w:rPr>
          <w:b/>
        </w:rPr>
        <w:t xml:space="preserve">Type: </w:t>
      </w:r>
      <w:r>
        <w:t>Paid &amp; promotional creatives — product launches, offers, pricing, CTAs, demos, feature pushes — not casual/organic community posts.</w:t>
      </w:r>
    </w:p>
    <w:p>
      <w:pPr>
        <w:pStyle w:val="ListBullet"/>
      </w:pPr>
      <w:r>
        <w:rPr>
          <w:b/>
        </w:rPr>
        <w:t xml:space="preserve">Source: </w:t>
      </w:r>
      <w:r>
        <w:t>Sourced ONLY from the competitor's own official page/account/channel.</w:t>
      </w:r>
    </w:p>
    <w:p>
      <w:pPr>
        <w:pStyle w:val="ListBullet"/>
      </w:pPr>
      <w:r>
        <w:rPr>
          <w:b/>
        </w:rPr>
        <w:t xml:space="preserve">Who: </w:t>
      </w:r>
      <w:r>
        <w:t>Focused on CORE AI companies — the vendors that BUILD the AI product (e.g. ElevenLabs, OpenAI, Deepgram), not companies that merely use or resell AI.</w:t>
      </w:r>
    </w:p>
    <w:p>
      <w:pPr>
        <w:pStyle w:val="Heading1"/>
      </w:pPr>
      <w:r>
        <w:t>2. End-to-end logic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3A4A12"/>
          </w:tcPr>
          <w:p>
            <w:r/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4752"/>
            <w:shd w:val="clear" w:color="auto" w:fill="3A4A12"/>
          </w:tcPr>
          <w:p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  <w:tc>
          <w:tcPr>
            <w:tcW w:type="dxa" w:w="3024"/>
            <w:shd w:val="clear" w:color="auto" w:fill="3A4A12"/>
          </w:tcPr>
          <w:p>
            <w:r/>
            <w:r>
              <w:rPr>
                <w:b/>
                <w:color w:val="FFFFFF"/>
                <w:sz w:val="19"/>
              </w:rPr>
              <w:t>How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1. Input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User describes their company/product in a paragraph, or gives a website URL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Free-text + optional site URL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2. Understand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Model reads the description (and fetches the website text) to infer the AI product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OpenRouter flash model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3. Discover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Returns the core AI companies that build competing products, with official handle + type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Model, strict JSON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4. Confirm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User toggles competitors, adds their own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Onboarding step 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5. Gather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For each competitor, pull ads from its OWN page on each platform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Per-platform fetchers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6. Classify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Tag each creative as paid-ad vs organic; translate Arabic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Native flags + model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7. Present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Feed defaults to 'Paid &amp; promotional only', per platform, with engagement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Dashboard</w:t>
            </w:r>
          </w:p>
        </w:tc>
      </w:tr>
    </w:tbl>
    <w:p>
      <w:pPr>
        <w:spacing w:after="40"/>
      </w:pPr>
    </w:p>
    <w:p>
      <w:pPr>
        <w:pStyle w:val="Heading1"/>
      </w:pPr>
      <w:r>
        <w:t>3. Discovery logic — who counts as a competitor</w:t>
      </w:r>
    </w:p>
    <w:p>
      <w:r>
        <w:t>The user does not type competitor names. They describe their product (or give a URL); the model infers the AI capability and returns the core AI companies that develop the same kind of product.</w:t>
      </w:r>
    </w:p>
    <w:p>
      <w:pPr>
        <w:spacing w:after="0" w:before="0"/>
        <w:ind w:left="202"/>
        <w:shd w:val="clear" w:color="auto" w:fill="F2F3EF"/>
      </w:pPr>
      <w:r>
        <w:rPr>
          <w:rFonts w:ascii="Consolas" w:hAnsi="Consolas"/>
          <w:color w:val="1A1A1A"/>
          <w:sz w:val="18"/>
        </w:rPr>
        <w:t>Input:  "We build a real-time voice AI agent that answers calls</w:t>
      </w:r>
    </w:p>
    <w:p>
      <w:pPr>
        <w:spacing w:after="0" w:before="0"/>
        <w:ind w:left="202"/>
        <w:shd w:val="clear" w:color="auto" w:fill="F2F3EF"/>
      </w:pPr>
      <w:r>
        <w:rPr>
          <w:rFonts w:ascii="Consolas" w:hAnsi="Consolas"/>
          <w:color w:val="1A1A1A"/>
          <w:sz w:val="18"/>
        </w:rPr>
        <w:t xml:space="preserve">         in Arabic &amp; English with human-like speech."   (or a URL)</w:t>
      </w:r>
    </w:p>
    <w:p>
      <w:pPr>
        <w:spacing w:after="0" w:before="0"/>
        <w:ind w:left="202"/>
        <w:shd w:val="clear" w:color="auto" w:fill="F2F3EF"/>
      </w:pPr>
      <w:r>
        <w:rPr>
          <w:rFonts w:ascii="Consolas" w:hAnsi="Consolas"/>
          <w:color w:val="1A1A1A"/>
          <w:sz w:val="18"/>
        </w:rPr>
        <w:t xml:space="preserve"> </w:t>
      </w:r>
    </w:p>
    <w:p>
      <w:pPr>
        <w:spacing w:after="0" w:before="0"/>
        <w:ind w:left="202"/>
        <w:shd w:val="clear" w:color="auto" w:fill="F2F3EF"/>
      </w:pPr>
      <w:r>
        <w:rPr>
          <w:rFonts w:ascii="Consolas" w:hAnsi="Consolas"/>
          <w:color w:val="1A1A1A"/>
          <w:sz w:val="18"/>
        </w:rPr>
        <w:t>Output (model): ElevenLabs (@elevenlabsio, AI startup)</w:t>
      </w:r>
    </w:p>
    <w:p>
      <w:pPr>
        <w:spacing w:after="0" w:before="0"/>
        <w:ind w:left="202"/>
        <w:shd w:val="clear" w:color="auto" w:fill="F2F3EF"/>
      </w:pPr>
      <w:r>
        <w:rPr>
          <w:rFonts w:ascii="Consolas" w:hAnsi="Consolas"/>
          <w:color w:val="1A1A1A"/>
          <w:sz w:val="18"/>
        </w:rPr>
        <w:t xml:space="preserve">                OpenAI (@openai, Foundation model)</w:t>
      </w:r>
    </w:p>
    <w:p>
      <w:pPr>
        <w:spacing w:after="0" w:before="0"/>
        <w:ind w:left="202"/>
        <w:shd w:val="clear" w:color="auto" w:fill="F2F3EF"/>
      </w:pPr>
      <w:r>
        <w:rPr>
          <w:rFonts w:ascii="Consolas" w:hAnsi="Consolas"/>
          <w:color w:val="1A1A1A"/>
          <w:sz w:val="18"/>
        </w:rPr>
        <w:t xml:space="preserve">                Deepgram (@deepgramai, AI API/platform)</w:t>
      </w:r>
    </w:p>
    <w:p>
      <w:pPr>
        <w:spacing w:after="0" w:before="0"/>
        <w:ind w:left="202"/>
        <w:shd w:val="clear" w:color="auto" w:fill="F2F3EF"/>
      </w:pPr>
      <w:r>
        <w:rPr>
          <w:rFonts w:ascii="Consolas" w:hAnsi="Consolas"/>
          <w:color w:val="1A1A1A"/>
          <w:sz w:val="18"/>
        </w:rPr>
        <w:t xml:space="preserve">                PlayHT, Resemble AI, ...</w:t>
      </w:r>
    </w:p>
    <w:p>
      <w:pPr>
        <w:spacing w:after="40"/>
      </w:pPr>
    </w:p>
    <w:p>
      <w:pPr>
        <w:pStyle w:val="ListBullet"/>
      </w:pPr>
      <w:r>
        <w:rPr>
          <w:b/>
        </w:rPr>
        <w:t xml:space="preserve">INCLUDE: </w:t>
      </w:r>
      <w:r>
        <w:t>Foundation-model labs, AI API/platform providers, AI startups, big-tech AI divisions.</w:t>
      </w:r>
    </w:p>
    <w:p>
      <w:pPr>
        <w:pStyle w:val="ListBullet"/>
      </w:pPr>
      <w:r>
        <w:rPr>
          <w:b/>
        </w:rPr>
        <w:t xml:space="preserve">EXCLUDE: </w:t>
      </w:r>
      <w:r>
        <w:t>Telecoms, banks, retailers, call-centre operators, agencies, integrators — anyone who only USES or resells AI. Also pure marketplaces.</w:t>
      </w:r>
    </w:p>
    <w:p>
      <w:r>
        <w:t>Each competitor comes back with its official social handle, which is what makes the next step land on the real account instead of a look-alike.</w:t>
      </w:r>
    </w:p>
    <w:p>
      <w:pPr>
        <w:pStyle w:val="Heading1"/>
      </w:pPr>
      <w:r>
        <w:t>4. Gathering logic — official pages only</w:t>
      </w:r>
    </w:p>
    <w:p>
      <w:r>
        <w:t>For each competitor, every platform is queried by the company's OWN account, never by an open keyword search: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3A4A12"/>
          </w:tcPr>
          <w:p>
            <w:r/>
            <w:r>
              <w:rPr>
                <w:b/>
                <w:color w:val="FFFFFF"/>
                <w:sz w:val="19"/>
              </w:rPr>
              <w:t>Platform</w:t>
            </w:r>
          </w:p>
        </w:tc>
        <w:tc>
          <w:tcPr>
            <w:tcW w:type="dxa" w:w="3456"/>
            <w:shd w:val="clear" w:color="auto" w:fill="3A4A12"/>
          </w:tcPr>
          <w:p>
            <w:r/>
            <w:r>
              <w:rPr>
                <w:b/>
                <w:color w:val="FFFFFF"/>
                <w:sz w:val="19"/>
              </w:rPr>
              <w:t>What we pull</w:t>
            </w:r>
          </w:p>
        </w:tc>
        <w:tc>
          <w:tcPr>
            <w:tcW w:type="dxa" w:w="4176"/>
            <w:shd w:val="clear" w:color="auto" w:fill="3A4A12"/>
          </w:tcPr>
          <w:p>
            <w:r/>
            <w:r>
              <w:rPr>
                <w:b/>
                <w:color w:val="FFFFFF"/>
                <w:sz w:val="19"/>
              </w:rPr>
              <w:t>Why it is 'their page only'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Meta Ad Library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Live PAID Facebook + Instagram ads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Results filtered to the brand's own page; it is the paid-ad archive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Instagram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Posts from the brand's own @handle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We fetch that exact account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X (Twitter)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The brand's own timeline (retweets dropped)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Handle resolved to the official account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YouTube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Videos from the brand's own channel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Search results filtered to the official channel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9"/>
              </w:rPr>
              <w:t>Google</w:t>
            </w:r>
          </w:p>
        </w:tc>
        <w:tc>
          <w:tcPr>
            <w:tcW w:type="dxa" w:w="3456"/>
          </w:tcPr>
          <w:p>
            <w:r/>
            <w:r>
              <w:rPr>
                <w:sz w:val="19"/>
              </w:rPr>
              <w:t>REMOVED</w:t>
            </w:r>
          </w:p>
        </w:tc>
        <w:tc>
          <w:tcPr>
            <w:tcW w:type="dxa" w:w="4176"/>
          </w:tcPr>
          <w:p>
            <w:r/>
            <w:r>
              <w:rPr>
                <w:sz w:val="19"/>
              </w:rPr>
              <w:t>Search results are third-party pages about the brand, not its own account</w:t>
            </w:r>
          </w:p>
        </w:tc>
      </w:tr>
    </w:tbl>
    <w:p>
      <w:pPr>
        <w:spacing w:after="40"/>
      </w:pPr>
    </w:p>
    <w:p>
      <w:pPr>
        <w:pStyle w:val="Heading1"/>
      </w:pPr>
      <w:r>
        <w:t>5. 'Looks paid' classification</w:t>
      </w:r>
    </w:p>
    <w:p>
      <w:r>
        <w:t>A brand's account holds both ads and casual posts. Each creative is tagged is_ad + ad_type using the strongest available signal first: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3A4A12"/>
          </w:tcPr>
          <w:p>
            <w:r/>
            <w:r>
              <w:rPr>
                <w:b/>
                <w:color w:val="FFFFFF"/>
                <w:sz w:val="19"/>
              </w:rPr>
              <w:t>Signal</w:t>
            </w:r>
          </w:p>
        </w:tc>
        <w:tc>
          <w:tcPr>
            <w:tcW w:type="dxa" w:w="4752"/>
            <w:shd w:val="clear" w:color="auto" w:fill="3A4A12"/>
          </w:tcPr>
          <w:p>
            <w:r/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1728"/>
            <w:shd w:val="clear" w:color="auto" w:fill="3A4A12"/>
          </w:tcPr>
          <w:p>
            <w:r/>
            <w:r>
              <w:rPr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Confirmed paid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Meta Ad Library entries (the paid archive)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Highest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Native paid flags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Instagram is_paid_partnership / boosted / ad_id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High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Model classifier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Flash model reads the copy: launch/offer/demo/CTA vs organic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Good</w:t>
            </w:r>
          </w:p>
        </w:tc>
      </w:tr>
    </w:tbl>
    <w:p>
      <w:pPr>
        <w:spacing w:after="40"/>
      </w:pPr>
    </w:p>
    <w:p>
      <w:r>
        <w:t>The Ad Feed defaults to “Paid &amp; promotional only” (with an AD badge and ad-type), so you see the ads a company is running — not their everyday posts. A toggle reveals all posts.</w:t>
      </w:r>
    </w:p>
    <w:p>
      <w:pPr>
        <w:pStyle w:val="Heading1"/>
      </w:pPr>
      <w:r>
        <w:t>6. Regional focus</w:t>
      </w:r>
    </w:p>
    <w:p>
      <w:r>
        <w:t>The selected market is threaded end-to-end and applied wherever the platform allows: Meta Ad Library is filtered by country; YouTube uses a country geo-signal; the market is stamped on every ad. Global brands (e.g. OpenAI) have one global account, so their region is shown as context rather than a hard filter.</w:t>
      </w:r>
    </w:p>
    <w:p>
      <w:pPr>
        <w:pStyle w:val="Heading1"/>
      </w:pPr>
      <w:r>
        <w:t>7. What we deliberately DO NOT show</w:t>
      </w:r>
    </w:p>
    <w:p>
      <w:pPr>
        <w:pStyle w:val="ListBullet"/>
      </w:pPr>
      <w:r>
        <w:t>Ads/posts we cannot confirm came from the competitor's own official account.</w:t>
      </w:r>
    </w:p>
    <w:p>
      <w:pPr>
        <w:pStyle w:val="ListBullet"/>
      </w:pPr>
      <w:r>
        <w:t>Third-party content: news, reviews, reseller/marketplace listings, fan pages.</w:t>
      </w:r>
    </w:p>
    <w:p>
      <w:pPr>
        <w:pStyle w:val="ListBullet"/>
      </w:pPr>
      <w:r>
        <w:t>Placeholder / mock data — if the live APIs return nothing, we show an honest empty state, never unrelated stand-in ads.</w:t>
      </w:r>
    </w:p>
    <w:p>
      <w:pPr>
        <w:pStyle w:val="ListBullet"/>
      </w:pPr>
      <w:r>
        <w:t>Organic non-promotional posts, when 'Paid &amp; promotional only' is on.</w:t>
      </w:r>
    </w:p>
    <w:p>
      <w:pPr>
        <w:pStyle w:val="Heading1"/>
      </w:pPr>
      <w:r>
        <w:t>8. Data sources &amp; honest limitations</w:t>
      </w:r>
    </w:p>
    <w:p>
      <w:r>
        <w:t>Competitor content comes from third-party RapidAPI providers; understanding/classification uses the OpenRouter flash model. These are external services with their own availability and free-tier limits:</w:t>
      </w:r>
    </w:p>
    <w:p>
      <w:pPr>
        <w:pStyle w:val="ListBullet"/>
      </w:pPr>
      <w:r>
        <w:rPr>
          <w:b/>
        </w:rPr>
        <w:t xml:space="preserve">Quota: </w:t>
      </w:r>
      <w:r>
        <w:t>Each RapidAPI source is on a free (BASIC) plan with a small monthly request quota (e.g. Meta Ad Library ~10/month). Heavy use exhausts them until reset or upgrade.</w:t>
      </w:r>
    </w:p>
    <w:p>
      <w:pPr>
        <w:pStyle w:val="ListBullet"/>
      </w:pPr>
      <w:r>
        <w:rPr>
          <w:b/>
        </w:rPr>
        <w:t xml:space="preserve">Availability: </w:t>
      </w:r>
      <w:r>
        <w:t>Some scrapers can be disabled by their provider at any time (returns HTTP 405). When that happens we swap to an alternative provider for that platform.</w:t>
      </w:r>
    </w:p>
    <w:p>
      <w:pPr>
        <w:pStyle w:val="ListBullet"/>
      </w:pPr>
      <w:r>
        <w:rPr>
          <w:b/>
        </w:rPr>
        <w:t xml:space="preserve">Graceful: </w:t>
      </w:r>
      <w:r>
        <w:t>When a source is quota-capped or disabled, its section is simply empty (with a rate-limited note) — the analysis logic is unaffected and resumes automatically when the source is back.</w:t>
      </w:r>
    </w:p>
    <w:p>
      <w:r>
        <w:rPr>
          <w:i/>
          <w:color w:val="555848"/>
          <w:sz w:val="18"/>
        </w:rPr>
        <w:t>This note reflects the logic as implemented in backend/app (discovery, per-platform fetchers, paid classification) and frontend/src (onboarding, ad feed). It describes behaviour, not a roadmap.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F7A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150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