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4F7A00"/>
          <w:sz w:val="56"/>
        </w:rPr>
        <w:t>Gulf Ad Intelligence</w:t>
      </w:r>
    </w:p>
    <w:p>
      <w:r>
        <w:rPr>
          <w:color w:val="555555"/>
          <w:sz w:val="26"/>
        </w:rPr>
        <w:t>Competitor Ad-Intelligence Platform for the GCC &amp; Levant</w:t>
      </w:r>
    </w:p>
    <w:p>
      <w:r>
        <w:rPr>
          <w:i/>
          <w:color w:val="555555"/>
          <w:sz w:val="20"/>
        </w:rPr>
        <w:t>Application Workflow, Logic &amp; Architecture  —  Technical Report</w:t>
      </w:r>
    </w:p>
    <w:p>
      <w:r>
        <w:rPr>
          <w:sz w:val="18"/>
        </w:rPr>
        <w:t>Date: 7 July 2026    •    Status: Running (live APIs wired)</w:t>
      </w:r>
    </w:p>
    <w:p>
      <w:pPr>
        <w:shd w:val="clear" w:color="auto" w:fill="EDF6D6"/>
      </w:pPr>
      <w:r>
        <w:rPr>
          <w:b/>
          <w:color w:val="2A3A00"/>
          <w:sz w:val="21"/>
        </w:rPr>
        <w:t>Core principle:  This application NEVER creates, generates, or builds ads. It only gathers and analyses competitors' existing ads across platforms, focused on the country the user selects.</w:t>
      </w:r>
    </w:p>
    <w:p>
      <w:pPr>
        <w:pStyle w:val="Heading1"/>
      </w:pPr>
      <w:r>
        <w:t>1. What the application does</w:t>
      </w:r>
    </w:p>
    <w:p>
      <w:r>
        <w:t>Gulf Ad Intelligence helps a company understand how its competitors advertise in the Arab / GCC region. The user enters their own product; the system identifies who else advertises the same thing to the same audience, then gathers those competitors' real, public ads from multiple platforms, translates the Arabic ones, scores them, and presents them as a dashboard — an overview, a per-platform ad feed, and a comparison view.</w:t>
      </w:r>
    </w:p>
    <w:p>
      <w:pPr>
        <w:pStyle w:val="ListBullet"/>
      </w:pPr>
      <w:r>
        <w:rPr>
          <w:b/>
        </w:rPr>
        <w:t xml:space="preserve">It answers: </w:t>
      </w:r>
      <w:r>
        <w:t>who the competitors are (derived from the product, not typed in by hand),</w:t>
      </w:r>
    </w:p>
    <w:p>
      <w:pPr>
        <w:pStyle w:val="ListBullet"/>
      </w:pPr>
      <w:r>
        <w:t>which platforms each competitor is most active on,</w:t>
      </w:r>
    </w:p>
    <w:p>
      <w:pPr>
        <w:pStyle w:val="ListBullet"/>
      </w:pPr>
      <w:r>
        <w:t>what offers, formats and languages they use, and how long ads have been running,</w:t>
      </w:r>
    </w:p>
    <w:p>
      <w:pPr>
        <w:pStyle w:val="ListBullet"/>
      </w:pPr>
      <w:r>
        <w:t>how this differs market-by-market across the region.</w:t>
      </w:r>
    </w:p>
    <w:p>
      <w:pPr>
        <w:pStyle w:val="Heading2"/>
      </w:pPr>
      <w:r>
        <w:t>Target markets &amp; languages</w:t>
      </w:r>
    </w:p>
    <w:p>
      <w:r>
        <w:t>Seven markets: Qatar, Saudi Arabia, Oman, Bahrain, United Arab Emirates, Jordan, Kuwait — plus an “All regions (GCC &amp; Levant)” option. Content is handled bilingually: English and Arabic (MSA, Gulf dialect, Arabizi, and code-switching), with right-to-left rendering for untranslated Arabic.</w:t>
      </w:r>
    </w:p>
    <w:p>
      <w:pPr>
        <w:pStyle w:val="Heading1"/>
      </w:pPr>
      <w:r>
        <w:t>2. Architecture at a glance</w:t>
      </w:r>
    </w:p>
    <w:tbl>
      <w:tblPr>
        <w:tblStyle w:val="LightGrid-Accent1"/>
        <w:tblW w:type="auto" w:w="0"/>
        <w:jc w:val="left"/>
        <w:tblLook w:firstColumn="1" w:firstRow="1" w:lastColumn="0" w:lastRow="0" w:noHBand="0" w:noVBand="1" w:val="04A0"/>
      </w:tblPr>
      <w:tblGrid>
        <w:gridCol w:w="2880"/>
        <w:gridCol w:w="2880"/>
        <w:gridCol w:w="2880"/>
      </w:tblGrid>
      <w:tr>
        <w:tc>
          <w:tcPr>
            <w:tcW w:type="dxa" w:w="1584"/>
            <w:shd w:val="clear" w:color="auto" w:fill="3A4A12"/>
          </w:tcPr>
          <w:p>
            <w:r/>
            <w:r>
              <w:rPr>
                <w:b/>
                <w:color w:val="FFFFFF"/>
                <w:sz w:val="19"/>
              </w:rPr>
              <w:t>Layer</w:t>
            </w:r>
          </w:p>
        </w:tc>
        <w:tc>
          <w:tcPr>
            <w:tcW w:type="dxa" w:w="3024"/>
            <w:shd w:val="clear" w:color="auto" w:fill="3A4A12"/>
          </w:tcPr>
          <w:p>
            <w:r/>
            <w:r>
              <w:rPr>
                <w:b/>
                <w:color w:val="FFFFFF"/>
                <w:sz w:val="19"/>
              </w:rPr>
              <w:t>Technology</w:t>
            </w:r>
          </w:p>
        </w:tc>
        <w:tc>
          <w:tcPr>
            <w:tcW w:type="dxa" w:w="4608"/>
            <w:shd w:val="clear" w:color="auto" w:fill="3A4A12"/>
          </w:tcPr>
          <w:p>
            <w:r/>
            <w:r>
              <w:rPr>
                <w:b/>
                <w:color w:val="FFFFFF"/>
                <w:sz w:val="19"/>
              </w:rPr>
              <w:t>Responsibility</w:t>
            </w:r>
          </w:p>
        </w:tc>
      </w:tr>
      <w:tr>
        <w:tc>
          <w:tcPr>
            <w:tcW w:type="dxa" w:w="1584"/>
          </w:tcPr>
          <w:p>
            <w:r/>
            <w:r>
              <w:rPr>
                <w:sz w:val="19"/>
              </w:rPr>
              <w:t>Frontend</w:t>
            </w:r>
          </w:p>
        </w:tc>
        <w:tc>
          <w:tcPr>
            <w:tcW w:type="dxa" w:w="3024"/>
          </w:tcPr>
          <w:p>
            <w:r/>
            <w:r>
              <w:rPr>
                <w:sz w:val="19"/>
              </w:rPr>
              <w:t>React + Vite + TypeScript</w:t>
            </w:r>
          </w:p>
        </w:tc>
        <w:tc>
          <w:tcPr>
            <w:tcW w:type="dxa" w:w="4608"/>
          </w:tcPr>
          <w:p>
            <w:r/>
            <w:r>
              <w:rPr>
                <w:sz w:val="19"/>
              </w:rPr>
              <w:t>Onboarding flow, dashboard, ad feed, RTL rendering</w:t>
            </w:r>
          </w:p>
        </w:tc>
      </w:tr>
      <w:tr>
        <w:tc>
          <w:tcPr>
            <w:tcW w:type="dxa" w:w="1584"/>
          </w:tcPr>
          <w:p>
            <w:r/>
            <w:r>
              <w:rPr>
                <w:sz w:val="19"/>
              </w:rPr>
              <w:t>Backend</w:t>
            </w:r>
          </w:p>
        </w:tc>
        <w:tc>
          <w:tcPr>
            <w:tcW w:type="dxa" w:w="3024"/>
          </w:tcPr>
          <w:p>
            <w:r/>
            <w:r>
              <w:rPr>
                <w:sz w:val="19"/>
              </w:rPr>
              <w:t>Python + FastAPI (async)</w:t>
            </w:r>
          </w:p>
        </w:tc>
        <w:tc>
          <w:tcPr>
            <w:tcW w:type="dxa" w:w="4608"/>
          </w:tcPr>
          <w:p>
            <w:r/>
            <w:r>
              <w:rPr>
                <w:sz w:val="19"/>
              </w:rPr>
              <w:t>Discovery, gathering, translation, scoring, caching API</w:t>
            </w:r>
          </w:p>
        </w:tc>
      </w:tr>
      <w:tr>
        <w:tc>
          <w:tcPr>
            <w:tcW w:type="dxa" w:w="1584"/>
          </w:tcPr>
          <w:p>
            <w:r/>
            <w:r>
              <w:rPr>
                <w:sz w:val="19"/>
              </w:rPr>
              <w:t>AI model</w:t>
            </w:r>
          </w:p>
        </w:tc>
        <w:tc>
          <w:tcPr>
            <w:tcW w:type="dxa" w:w="3024"/>
          </w:tcPr>
          <w:p>
            <w:r/>
            <w:r>
              <w:rPr>
                <w:sz w:val="19"/>
              </w:rPr>
              <w:t>OpenRouter — google/gemini-2.5-flash</w:t>
            </w:r>
          </w:p>
        </w:tc>
        <w:tc>
          <w:tcPr>
            <w:tcW w:type="dxa" w:w="4608"/>
          </w:tcPr>
          <w:p>
            <w:r/>
            <w:r>
              <w:rPr>
                <w:sz w:val="19"/>
              </w:rPr>
              <w:t>Competitor discovery + Arabic→English translation/analysis</w:t>
            </w:r>
          </w:p>
        </w:tc>
      </w:tr>
      <w:tr>
        <w:tc>
          <w:tcPr>
            <w:tcW w:type="dxa" w:w="1584"/>
          </w:tcPr>
          <w:p>
            <w:r/>
            <w:r>
              <w:rPr>
                <w:sz w:val="19"/>
              </w:rPr>
              <w:t>Data sources</w:t>
            </w:r>
          </w:p>
        </w:tc>
        <w:tc>
          <w:tcPr>
            <w:tcW w:type="dxa" w:w="3024"/>
          </w:tcPr>
          <w:p>
            <w:r/>
            <w:r>
              <w:rPr>
                <w:sz w:val="19"/>
              </w:rPr>
              <w:t>RapidAPI (Instagram, Google, YouTube, Facebook)</w:t>
            </w:r>
          </w:p>
        </w:tc>
        <w:tc>
          <w:tcPr>
            <w:tcW w:type="dxa" w:w="4608"/>
          </w:tcPr>
          <w:p>
            <w:r/>
            <w:r>
              <w:rPr>
                <w:sz w:val="19"/>
              </w:rPr>
              <w:t>Live competitor content per platform</w:t>
            </w:r>
          </w:p>
        </w:tc>
      </w:tr>
      <w:tr>
        <w:tc>
          <w:tcPr>
            <w:tcW w:type="dxa" w:w="1584"/>
          </w:tcPr>
          <w:p>
            <w:r/>
            <w:r>
              <w:rPr>
                <w:sz w:val="19"/>
              </w:rPr>
              <w:t>Database</w:t>
            </w:r>
          </w:p>
        </w:tc>
        <w:tc>
          <w:tcPr>
            <w:tcW w:type="dxa" w:w="3024"/>
          </w:tcPr>
          <w:p>
            <w:r/>
            <w:r>
              <w:rPr>
                <w:sz w:val="19"/>
              </w:rPr>
              <w:t>Turso / libSQL</w:t>
            </w:r>
          </w:p>
        </w:tc>
        <w:tc>
          <w:tcPr>
            <w:tcW w:type="dxa" w:w="4608"/>
          </w:tcPr>
          <w:p>
            <w:r/>
            <w:r>
              <w:rPr>
                <w:sz w:val="19"/>
              </w:rPr>
              <w:t>Cache (ads, competitors) + persistence</w:t>
            </w:r>
          </w:p>
        </w:tc>
      </w:tr>
    </w:tbl>
    <w:p>
      <w:pPr>
        <w:spacing w:after="40"/>
      </w:pPr>
    </w:p>
    <w:p>
      <w:r>
        <w:t>In development the Vite dev server proxies /api to the FastAPI backend on port 8000. Every external dependency is optional: with no keys configured the app still runs on mock data, so it is always explorable.</w:t>
      </w:r>
    </w:p>
    <w:p>
      <w:pPr>
        <w:pStyle w:val="Heading1"/>
      </w:pPr>
      <w:r>
        <w:t>3. End-to-end workflow</w:t>
      </w:r>
    </w:p>
    <w:p>
      <w:r>
        <w:t>The user journey runs through nine logical stages:</w:t>
      </w:r>
    </w:p>
    <w:tbl>
      <w:tblPr>
        <w:tblStyle w:val="LightGrid-Accent1"/>
        <w:tblW w:type="auto" w:w="0"/>
        <w:jc w:val="left"/>
        <w:tblLook w:firstColumn="1" w:firstRow="1" w:lastColumn="0" w:lastRow="0" w:noHBand="0" w:noVBand="1" w:val="04A0"/>
      </w:tblPr>
      <w:tblGrid>
        <w:gridCol w:w="2880"/>
        <w:gridCol w:w="2880"/>
        <w:gridCol w:w="2880"/>
      </w:tblGrid>
      <w:tr>
        <w:tc>
          <w:tcPr>
            <w:tcW w:type="dxa" w:w="1440"/>
            <w:shd w:val="clear" w:color="auto" w:fill="3A4A12"/>
          </w:tcPr>
          <w:p>
            <w:r/>
            <w:r>
              <w:rPr>
                <w:b/>
                <w:color w:val="FFFFFF"/>
                <w:sz w:val="19"/>
              </w:rPr>
              <w:t>Stage</w:t>
            </w:r>
          </w:p>
        </w:tc>
        <w:tc>
          <w:tcPr>
            <w:tcW w:type="dxa" w:w="4752"/>
            <w:shd w:val="clear" w:color="auto" w:fill="3A4A12"/>
          </w:tcPr>
          <w:p>
            <w:r/>
            <w:r>
              <w:rPr>
                <w:b/>
                <w:color w:val="FFFFFF"/>
                <w:sz w:val="19"/>
              </w:rPr>
              <w:t>What happens</w:t>
            </w:r>
          </w:p>
        </w:tc>
        <w:tc>
          <w:tcPr>
            <w:tcW w:type="dxa" w:w="3024"/>
            <w:shd w:val="clear" w:color="auto" w:fill="3A4A12"/>
          </w:tcPr>
          <w:p>
            <w:r/>
            <w:r>
              <w:rPr>
                <w:b/>
                <w:color w:val="FFFFFF"/>
                <w:sz w:val="19"/>
              </w:rPr>
              <w:t>Where</w:t>
            </w:r>
          </w:p>
        </w:tc>
      </w:tr>
      <w:tr>
        <w:tc>
          <w:tcPr>
            <w:tcW w:type="dxa" w:w="1440"/>
          </w:tcPr>
          <w:p>
            <w:r/>
            <w:r>
              <w:rPr>
                <w:sz w:val="19"/>
              </w:rPr>
              <w:t>1. Input</w:t>
            </w:r>
          </w:p>
        </w:tc>
        <w:tc>
          <w:tcPr>
            <w:tcW w:type="dxa" w:w="4752"/>
          </w:tcPr>
          <w:p>
            <w:r/>
            <w:r>
              <w:rPr>
                <w:sz w:val="19"/>
              </w:rPr>
              <w:t>User enters product, category, country, platforms to watch</w:t>
            </w:r>
          </w:p>
        </w:tc>
        <w:tc>
          <w:tcPr>
            <w:tcW w:type="dxa" w:w="3024"/>
          </w:tcPr>
          <w:p>
            <w:r/>
            <w:r>
              <w:rPr>
                <w:sz w:val="19"/>
              </w:rPr>
              <w:t>Onboarding (frontend)</w:t>
            </w:r>
          </w:p>
        </w:tc>
      </w:tr>
      <w:tr>
        <w:tc>
          <w:tcPr>
            <w:tcW w:type="dxa" w:w="1440"/>
          </w:tcPr>
          <w:p>
            <w:r/>
            <w:r>
              <w:rPr>
                <w:sz w:val="19"/>
              </w:rPr>
              <w:t>2. Discover</w:t>
            </w:r>
          </w:p>
        </w:tc>
        <w:tc>
          <w:tcPr>
            <w:tcW w:type="dxa" w:w="4752"/>
          </w:tcPr>
          <w:p>
            <w:r/>
            <w:r>
              <w:rPr>
                <w:sz w:val="19"/>
              </w:rPr>
              <w:t>Product → competitor list via the flash model</w:t>
            </w:r>
          </w:p>
        </w:tc>
        <w:tc>
          <w:tcPr>
            <w:tcW w:type="dxa" w:w="3024"/>
          </w:tcPr>
          <w:p>
            <w:r/>
            <w:r>
              <w:rPr>
                <w:sz w:val="19"/>
              </w:rPr>
              <w:t>POST /api/competitors/discover</w:t>
            </w:r>
          </w:p>
        </w:tc>
      </w:tr>
      <w:tr>
        <w:tc>
          <w:tcPr>
            <w:tcW w:type="dxa" w:w="1440"/>
          </w:tcPr>
          <w:p>
            <w:r/>
            <w:r>
              <w:rPr>
                <w:sz w:val="19"/>
              </w:rPr>
              <w:t>3. Confirm</w:t>
            </w:r>
          </w:p>
        </w:tc>
        <w:tc>
          <w:tcPr>
            <w:tcW w:type="dxa" w:w="4752"/>
          </w:tcPr>
          <w:p>
            <w:r/>
            <w:r>
              <w:rPr>
                <w:sz w:val="19"/>
              </w:rPr>
              <w:t>User toggles competitors on/off, adds their own</w:t>
            </w:r>
          </w:p>
        </w:tc>
        <w:tc>
          <w:tcPr>
            <w:tcW w:type="dxa" w:w="3024"/>
          </w:tcPr>
          <w:p>
            <w:r/>
            <w:r>
              <w:rPr>
                <w:sz w:val="19"/>
              </w:rPr>
              <w:t>Onboarding step 2</w:t>
            </w:r>
          </w:p>
        </w:tc>
      </w:tr>
      <w:tr>
        <w:tc>
          <w:tcPr>
            <w:tcW w:type="dxa" w:w="1440"/>
          </w:tcPr>
          <w:p>
            <w:r/>
            <w:r>
              <w:rPr>
                <w:sz w:val="19"/>
              </w:rPr>
              <w:t>4. Enter app</w:t>
            </w:r>
          </w:p>
        </w:tc>
        <w:tc>
          <w:tcPr>
            <w:tcW w:type="dxa" w:w="4752"/>
          </w:tcPr>
          <w:p>
            <w:r/>
            <w:r>
              <w:rPr>
                <w:sz w:val="19"/>
              </w:rPr>
              <w:t>Product + confirmed competitors stored, dashboard opens</w:t>
            </w:r>
          </w:p>
        </w:tc>
        <w:tc>
          <w:tcPr>
            <w:tcW w:type="dxa" w:w="3024"/>
          </w:tcPr>
          <w:p>
            <w:r/>
            <w:r>
              <w:rPr>
                <w:sz w:val="19"/>
              </w:rPr>
              <w:t>localStorage → /app</w:t>
            </w:r>
          </w:p>
        </w:tc>
      </w:tr>
      <w:tr>
        <w:tc>
          <w:tcPr>
            <w:tcW w:type="dxa" w:w="1440"/>
          </w:tcPr>
          <w:p>
            <w:r/>
            <w:r>
              <w:rPr>
                <w:sz w:val="19"/>
              </w:rPr>
              <w:t>5. Gather</w:t>
            </w:r>
          </w:p>
        </w:tc>
        <w:tc>
          <w:tcPr>
            <w:tcW w:type="dxa" w:w="4752"/>
          </w:tcPr>
          <w:p>
            <w:r/>
            <w:r>
              <w:rPr>
                <w:sz w:val="19"/>
              </w:rPr>
              <w:t>Top competitors' ads fetched per platform, geo-scoped</w:t>
            </w:r>
          </w:p>
        </w:tc>
        <w:tc>
          <w:tcPr>
            <w:tcW w:type="dxa" w:w="3024"/>
          </w:tcPr>
          <w:p>
            <w:r/>
            <w:r>
              <w:rPr>
                <w:sz w:val="19"/>
              </w:rPr>
              <w:t>GET /api/ads</w:t>
            </w:r>
          </w:p>
        </w:tc>
      </w:tr>
      <w:tr>
        <w:tc>
          <w:tcPr>
            <w:tcW w:type="dxa" w:w="1440"/>
          </w:tcPr>
          <w:p>
            <w:r/>
            <w:r>
              <w:rPr>
                <w:sz w:val="19"/>
              </w:rPr>
              <w:t>6. Understand</w:t>
            </w:r>
          </w:p>
        </w:tc>
        <w:tc>
          <w:tcPr>
            <w:tcW w:type="dxa" w:w="4752"/>
          </w:tcPr>
          <w:p>
            <w:r/>
            <w:r>
              <w:rPr>
                <w:sz w:val="19"/>
              </w:rPr>
              <w:t>Arabic/Arabizi headlines translated to English</w:t>
            </w:r>
          </w:p>
        </w:tc>
        <w:tc>
          <w:tcPr>
            <w:tcW w:type="dxa" w:w="3024"/>
          </w:tcPr>
          <w:p>
            <w:r/>
            <w:r>
              <w:rPr>
                <w:sz w:val="19"/>
              </w:rPr>
              <w:t>translate_ads (flash)</w:t>
            </w:r>
          </w:p>
        </w:tc>
      </w:tr>
      <w:tr>
        <w:tc>
          <w:tcPr>
            <w:tcW w:type="dxa" w:w="1440"/>
          </w:tcPr>
          <w:p>
            <w:r/>
            <w:r>
              <w:rPr>
                <w:sz w:val="19"/>
              </w:rPr>
              <w:t>7. Score</w:t>
            </w:r>
          </w:p>
        </w:tc>
        <w:tc>
          <w:tcPr>
            <w:tcW w:type="dxa" w:w="4752"/>
          </w:tcPr>
          <w:p>
            <w:r/>
            <w:r>
              <w:rPr>
                <w:sz w:val="19"/>
              </w:rPr>
              <w:t>Each ad given a performance score; sorted</w:t>
            </w:r>
          </w:p>
        </w:tc>
        <w:tc>
          <w:tcPr>
            <w:tcW w:type="dxa" w:w="3024"/>
          </w:tcPr>
          <w:p>
            <w:r/>
            <w:r>
              <w:rPr>
                <w:sz w:val="19"/>
              </w:rPr>
              <w:t>list_ads</w:t>
            </w:r>
          </w:p>
        </w:tc>
      </w:tr>
      <w:tr>
        <w:tc>
          <w:tcPr>
            <w:tcW w:type="dxa" w:w="1440"/>
          </w:tcPr>
          <w:p>
            <w:r/>
            <w:r>
              <w:rPr>
                <w:sz w:val="19"/>
              </w:rPr>
              <w:t>8. Summarise</w:t>
            </w:r>
          </w:p>
        </w:tc>
        <w:tc>
          <w:tcPr>
            <w:tcW w:type="dxa" w:w="4752"/>
          </w:tcPr>
          <w:p>
            <w:r/>
            <w:r>
              <w:rPr>
                <w:sz w:val="19"/>
              </w:rPr>
              <w:t>Share-of-voice / platform-mix computed from real ads</w:t>
            </w:r>
          </w:p>
        </w:tc>
        <w:tc>
          <w:tcPr>
            <w:tcW w:type="dxa" w:w="3024"/>
          </w:tcPr>
          <w:p>
            <w:r/>
            <w:r>
              <w:rPr>
                <w:sz w:val="19"/>
              </w:rPr>
              <w:t>buildSummaries (frontend)</w:t>
            </w:r>
          </w:p>
        </w:tc>
      </w:tr>
      <w:tr>
        <w:tc>
          <w:tcPr>
            <w:tcW w:type="dxa" w:w="1440"/>
          </w:tcPr>
          <w:p>
            <w:r/>
            <w:r>
              <w:rPr>
                <w:sz w:val="19"/>
              </w:rPr>
              <w:t>9. Present</w:t>
            </w:r>
          </w:p>
        </w:tc>
        <w:tc>
          <w:tcPr>
            <w:tcW w:type="dxa" w:w="4752"/>
          </w:tcPr>
          <w:p>
            <w:r/>
            <w:r>
              <w:rPr>
                <w:sz w:val="19"/>
              </w:rPr>
              <w:t>Overview, per-platform feed, comparison table</w:t>
            </w:r>
          </w:p>
        </w:tc>
        <w:tc>
          <w:tcPr>
            <w:tcW w:type="dxa" w:w="3024"/>
          </w:tcPr>
          <w:p>
            <w:r/>
            <w:r>
              <w:rPr>
                <w:sz w:val="19"/>
              </w:rPr>
              <w:t>Dashboard</w:t>
            </w:r>
          </w:p>
        </w:tc>
      </w:tr>
    </w:tbl>
    <w:p>
      <w:pPr>
        <w:spacing w:after="40"/>
      </w:pPr>
    </w:p>
    <w:p>
      <w:pPr>
        <w:pStyle w:val="Heading1"/>
      </w:pPr>
      <w:r>
        <w:t>4. Worked example — a telecom marketer in Qatar</w:t>
      </w:r>
    </w:p>
    <w:p>
      <w:r>
        <w:t>Suppose the user sells 5G mobile plans and selects Qatar.</w:t>
      </w:r>
    </w:p>
    <w:p>
      <w:pPr>
        <w:pStyle w:val="Heading2"/>
      </w:pPr>
      <w:r>
        <w:t>Step A — discovery (LLM reasoning, not keyword search)</w:t>
      </w:r>
    </w:p>
    <w:p>
      <w:r>
        <w:t>The backend sends a compact prompt to the flash model:</w:t>
      </w:r>
    </w:p>
    <w:p>
      <w:pPr>
        <w:spacing w:after="0" w:before="0"/>
        <w:ind w:left="216"/>
        <w:shd w:val="clear" w:color="auto" w:fill="F2F3EF"/>
      </w:pPr>
      <w:r>
        <w:rPr>
          <w:rFonts w:ascii="Consolas" w:hAnsi="Consolas"/>
          <w:color w:val="1A1A1A"/>
          <w:sz w:val="18"/>
        </w:rPr>
        <w:t>System: You are a competitive-intelligence analyst. Given a product,</w:t>
      </w:r>
    </w:p>
    <w:p>
      <w:pPr>
        <w:spacing w:after="0" w:before="0"/>
        <w:ind w:left="216"/>
        <w:shd w:val="clear" w:color="auto" w:fill="F2F3EF"/>
      </w:pPr>
      <w:r>
        <w:rPr>
          <w:rFonts w:ascii="Consolas" w:hAnsi="Consolas"/>
          <w:color w:val="1A1A1A"/>
          <w:sz w:val="18"/>
        </w:rPr>
        <w:t xml:space="preserve">        category and country, list the real advertising competitors...</w:t>
      </w:r>
    </w:p>
    <w:p>
      <w:pPr>
        <w:spacing w:after="0" w:before="0"/>
        <w:ind w:left="216"/>
        <w:shd w:val="clear" w:color="auto" w:fill="F2F3EF"/>
      </w:pPr>
      <w:r>
        <w:rPr>
          <w:rFonts w:ascii="Consolas" w:hAnsi="Consolas"/>
          <w:color w:val="1A1A1A"/>
          <w:sz w:val="18"/>
        </w:rPr>
        <w:t xml:space="preserve">        Return strict JSON {"competitors":[{name,tier,confidence,reason}]}</w:t>
      </w:r>
    </w:p>
    <w:p>
      <w:pPr>
        <w:spacing w:after="0" w:before="0"/>
        <w:ind w:left="216"/>
        <w:shd w:val="clear" w:color="auto" w:fill="F2F3EF"/>
      </w:pPr>
      <w:r>
        <w:rPr>
          <w:rFonts w:ascii="Consolas" w:hAnsi="Consolas"/>
          <w:color w:val="1A1A1A"/>
          <w:sz w:val="18"/>
        </w:rPr>
        <w:t>User:   Product: 5G mobile plans</w:t>
      </w:r>
    </w:p>
    <w:p>
      <w:pPr>
        <w:spacing w:after="0" w:before="0"/>
        <w:ind w:left="216"/>
        <w:shd w:val="clear" w:color="auto" w:fill="F2F3EF"/>
      </w:pPr>
      <w:r>
        <w:rPr>
          <w:rFonts w:ascii="Consolas" w:hAnsi="Consolas"/>
          <w:color w:val="1A1A1A"/>
          <w:sz w:val="18"/>
        </w:rPr>
        <w:t xml:space="preserve">        Category: Telecom</w:t>
      </w:r>
    </w:p>
    <w:p>
      <w:pPr>
        <w:spacing w:after="0" w:before="0"/>
        <w:ind w:left="216"/>
        <w:shd w:val="clear" w:color="auto" w:fill="F2F3EF"/>
      </w:pPr>
      <w:r>
        <w:rPr>
          <w:rFonts w:ascii="Consolas" w:hAnsi="Consolas"/>
          <w:color w:val="1A1A1A"/>
          <w:sz w:val="18"/>
        </w:rPr>
        <w:t xml:space="preserve">        Country: Qatar</w:t>
      </w:r>
    </w:p>
    <w:p>
      <w:pPr>
        <w:spacing w:after="0" w:before="0"/>
        <w:ind w:left="216"/>
        <w:shd w:val="clear" w:color="auto" w:fill="F2F3EF"/>
      </w:pPr>
      <w:r>
        <w:rPr>
          <w:rFonts w:ascii="Consolas" w:hAnsi="Consolas"/>
          <w:color w:val="1A1A1A"/>
          <w:sz w:val="18"/>
        </w:rPr>
        <w:t xml:space="preserve">        Known competitors: none</w:t>
      </w:r>
    </w:p>
    <w:p>
      <w:pPr>
        <w:spacing w:after="40"/>
      </w:pPr>
    </w:p>
    <w:p>
      <w:r>
        <w:t>The model reasons about the market and returns, for example:</w:t>
      </w:r>
    </w:p>
    <w:p>
      <w:pPr>
        <w:spacing w:after="0" w:before="0"/>
        <w:ind w:left="216"/>
        <w:shd w:val="clear" w:color="auto" w:fill="F2F3EF"/>
      </w:pPr>
      <w:r>
        <w:rPr>
          <w:rFonts w:ascii="Consolas" w:hAnsi="Consolas"/>
          <w:color w:val="1A1A1A"/>
          <w:sz w:val="18"/>
        </w:rPr>
        <w:t>{ "competitors": [</w:t>
      </w:r>
    </w:p>
    <w:p>
      <w:pPr>
        <w:spacing w:after="0" w:before="0"/>
        <w:ind w:left="216"/>
        <w:shd w:val="clear" w:color="auto" w:fill="F2F3EF"/>
      </w:pPr>
      <w:r>
        <w:rPr>
          <w:rFonts w:ascii="Consolas" w:hAnsi="Consolas"/>
          <w:color w:val="1A1A1A"/>
          <w:sz w:val="18"/>
        </w:rPr>
        <w:t xml:space="preserve">   {"name":"Ooredoo",  "tier":"direct",  "confidence":0.95,</w:t>
      </w:r>
    </w:p>
    <w:p>
      <w:pPr>
        <w:spacing w:after="0" w:before="0"/>
        <w:ind w:left="216"/>
        <w:shd w:val="clear" w:color="auto" w:fill="F2F3EF"/>
      </w:pPr>
      <w:r>
        <w:rPr>
          <w:rFonts w:ascii="Consolas" w:hAnsi="Consolas"/>
          <w:color w:val="1A1A1A"/>
          <w:sz w:val="18"/>
        </w:rPr>
        <w:t xml:space="preserve">    "reason":"Leading Qatari telecom; heavy 5G advertiser"},</w:t>
      </w:r>
    </w:p>
    <w:p>
      <w:pPr>
        <w:spacing w:after="0" w:before="0"/>
        <w:ind w:left="216"/>
        <w:shd w:val="clear" w:color="auto" w:fill="F2F3EF"/>
      </w:pPr>
      <w:r>
        <w:rPr>
          <w:rFonts w:ascii="Consolas" w:hAnsi="Consolas"/>
          <w:color w:val="1A1A1A"/>
          <w:sz w:val="18"/>
        </w:rPr>
        <w:t xml:space="preserve">   {"name":"Vodafone Qatar","tier":"direct","confidence":0.9,</w:t>
      </w:r>
    </w:p>
    <w:p>
      <w:pPr>
        <w:spacing w:after="0" w:before="0"/>
        <w:ind w:left="216"/>
        <w:shd w:val="clear" w:color="auto" w:fill="F2F3EF"/>
      </w:pPr>
      <w:r>
        <w:rPr>
          <w:rFonts w:ascii="Consolas" w:hAnsi="Consolas"/>
          <w:color w:val="1A1A1A"/>
          <w:sz w:val="18"/>
        </w:rPr>
        <w:t xml:space="preserve">    "reason":"Second national operator competing on 5G plans"} ] }</w:t>
      </w:r>
    </w:p>
    <w:p>
      <w:pPr>
        <w:spacing w:after="40"/>
      </w:pPr>
    </w:p>
    <w:p>
      <w:r>
        <w:t>This is semantic reasoning — the user never typed “Ooredoo”. The result is cached in Turso for 24 hours, keyed by (product, country).</w:t>
      </w:r>
    </w:p>
    <w:p>
      <w:pPr>
        <w:pStyle w:val="Heading2"/>
      </w:pPr>
      <w:r>
        <w:t>Step B — gathering (technique differs per platform)</w:t>
      </w:r>
    </w:p>
    <w:p>
      <w:r>
        <w:t>The dashboard requests ads for the confirmed competitors. Each platform is queried with the technique its data source actually supports:</w:t>
      </w:r>
    </w:p>
    <w:tbl>
      <w:tblPr>
        <w:tblStyle w:val="LightGrid-Accent1"/>
        <w:tblW w:type="auto" w:w="0"/>
        <w:jc w:val="left"/>
        <w:tblLook w:firstColumn="1" w:firstRow="1" w:lastColumn="0" w:lastRow="0" w:noHBand="0" w:noVBand="1" w:val="04A0"/>
      </w:tblPr>
      <w:tblGrid>
        <w:gridCol w:w="2880"/>
        <w:gridCol w:w="2880"/>
        <w:gridCol w:w="2880"/>
      </w:tblGrid>
      <w:tr>
        <w:tc>
          <w:tcPr>
            <w:tcW w:type="dxa" w:w="1440"/>
            <w:shd w:val="clear" w:color="auto" w:fill="3A4A12"/>
          </w:tcPr>
          <w:p>
            <w:r/>
            <w:r>
              <w:rPr>
                <w:b/>
                <w:color w:val="FFFFFF"/>
                <w:sz w:val="19"/>
              </w:rPr>
              <w:t>Platform</w:t>
            </w:r>
          </w:p>
        </w:tc>
        <w:tc>
          <w:tcPr>
            <w:tcW w:type="dxa" w:w="2736"/>
            <w:shd w:val="clear" w:color="auto" w:fill="3A4A12"/>
          </w:tcPr>
          <w:p>
            <w:r/>
            <w:r>
              <w:rPr>
                <w:b/>
                <w:color w:val="FFFFFF"/>
                <w:sz w:val="19"/>
              </w:rPr>
              <w:t>Search technique</w:t>
            </w:r>
          </w:p>
        </w:tc>
        <w:tc>
          <w:tcPr>
            <w:tcW w:type="dxa" w:w="4896"/>
            <w:shd w:val="clear" w:color="auto" w:fill="3A4A12"/>
          </w:tcPr>
          <w:p>
            <w:r/>
            <w:r>
              <w:rPr>
                <w:b/>
                <w:color w:val="FFFFFF"/>
                <w:sz w:val="19"/>
              </w:rPr>
              <w:t>How the query is built</w:t>
            </w:r>
          </w:p>
        </w:tc>
      </w:tr>
      <w:tr>
        <w:tc>
          <w:tcPr>
            <w:tcW w:type="dxa" w:w="1440"/>
          </w:tcPr>
          <w:p>
            <w:r/>
            <w:r>
              <w:rPr>
                <w:sz w:val="19"/>
              </w:rPr>
              <w:t>Instagram</w:t>
            </w:r>
          </w:p>
        </w:tc>
        <w:tc>
          <w:tcPr>
            <w:tcW w:type="dxa" w:w="2736"/>
          </w:tcPr>
          <w:p>
            <w:r/>
            <w:r>
              <w:rPr>
                <w:sz w:val="19"/>
              </w:rPr>
              <w:t>Handle / username resolution (not keyword)</w:t>
            </w:r>
          </w:p>
        </w:tc>
        <w:tc>
          <w:tcPr>
            <w:tcW w:type="dxa" w:w="4896"/>
          </w:tcPr>
          <w:p>
            <w:r/>
            <w:r>
              <w:rPr>
                <w:sz w:val="19"/>
              </w:rPr>
              <w:t>Brand name → IG handle via override map or _slug(); fetch that account's posts</w:t>
            </w:r>
          </w:p>
        </w:tc>
      </w:tr>
      <w:tr>
        <w:tc>
          <w:tcPr>
            <w:tcW w:type="dxa" w:w="1440"/>
          </w:tcPr>
          <w:p>
            <w:r/>
            <w:r>
              <w:rPr>
                <w:sz w:val="19"/>
              </w:rPr>
              <w:t>Google</w:t>
            </w:r>
          </w:p>
        </w:tc>
        <w:tc>
          <w:tcPr>
            <w:tcW w:type="dxa" w:w="2736"/>
          </w:tcPr>
          <w:p>
            <w:r/>
            <w:r>
              <w:rPr>
                <w:sz w:val="19"/>
              </w:rPr>
              <w:t>Keyword search</w:t>
            </w:r>
          </w:p>
        </w:tc>
        <w:tc>
          <w:tcPr>
            <w:tcW w:type="dxa" w:w="4896"/>
          </w:tcPr>
          <w:p>
            <w:r/>
            <w:r>
              <w:rPr>
                <w:sz w:val="19"/>
              </w:rPr>
              <w:t>Query = "&lt;competitor&gt; &lt;country&gt;"  e.g. "Ooredoo Qatar"</w:t>
            </w:r>
          </w:p>
        </w:tc>
      </w:tr>
      <w:tr>
        <w:tc>
          <w:tcPr>
            <w:tcW w:type="dxa" w:w="1440"/>
          </w:tcPr>
          <w:p>
            <w:r/>
            <w:r>
              <w:rPr>
                <w:sz w:val="19"/>
              </w:rPr>
              <w:t>YouTube</w:t>
            </w:r>
          </w:p>
        </w:tc>
        <w:tc>
          <w:tcPr>
            <w:tcW w:type="dxa" w:w="2736"/>
          </w:tcPr>
          <w:p>
            <w:r/>
            <w:r>
              <w:rPr>
                <w:sz w:val="19"/>
              </w:rPr>
              <w:t>Keyword search + geo</w:t>
            </w:r>
          </w:p>
        </w:tc>
        <w:tc>
          <w:tcPr>
            <w:tcW w:type="dxa" w:w="4896"/>
          </w:tcPr>
          <w:p>
            <w:r/>
            <w:r>
              <w:rPr>
                <w:sz w:val="19"/>
              </w:rPr>
              <w:t>q=&lt;competitor&gt;, gl=&lt;ISO country&gt;  e.g. gl=QA</w:t>
            </w:r>
          </w:p>
        </w:tc>
      </w:tr>
      <w:tr>
        <w:tc>
          <w:tcPr>
            <w:tcW w:type="dxa" w:w="1440"/>
          </w:tcPr>
          <w:p>
            <w:r/>
            <w:r>
              <w:rPr>
                <w:sz w:val="19"/>
              </w:rPr>
              <w:t>Facebook</w:t>
            </w:r>
          </w:p>
        </w:tc>
        <w:tc>
          <w:tcPr>
            <w:tcW w:type="dxa" w:w="2736"/>
          </w:tcPr>
          <w:p>
            <w:r/>
            <w:r>
              <w:rPr>
                <w:sz w:val="19"/>
              </w:rPr>
              <w:t>Page lookup (details only)</w:t>
            </w:r>
          </w:p>
        </w:tc>
        <w:tc>
          <w:tcPr>
            <w:tcW w:type="dxa" w:w="4896"/>
          </w:tcPr>
          <w:p>
            <w:r/>
            <w:r>
              <w:rPr>
                <w:sz w:val="19"/>
              </w:rPr>
              <w:t>Resolve page id + ad status; link to Meta Ad Library (not yet in feed)</w:t>
            </w:r>
          </w:p>
        </w:tc>
      </w:tr>
      <w:tr>
        <w:tc>
          <w:tcPr>
            <w:tcW w:type="dxa" w:w="1440"/>
          </w:tcPr>
          <w:p>
            <w:r/>
            <w:r>
              <w:rPr>
                <w:sz w:val="19"/>
              </w:rPr>
              <w:t>LinkedIn</w:t>
            </w:r>
          </w:p>
        </w:tc>
        <w:tc>
          <w:tcPr>
            <w:tcW w:type="dxa" w:w="2736"/>
          </w:tcPr>
          <w:p>
            <w:r/>
            <w:r>
              <w:rPr>
                <w:sz w:val="19"/>
              </w:rPr>
              <w:t>Disabled</w:t>
            </w:r>
          </w:p>
        </w:tc>
        <w:tc>
          <w:tcPr>
            <w:tcW w:type="dxa" w:w="4896"/>
          </w:tcPr>
          <w:p>
            <w:r/>
            <w:r>
              <w:rPr>
                <w:sz w:val="19"/>
              </w:rPr>
              <w:t>RapidAPI provider discontinued the service</w:t>
            </w:r>
          </w:p>
        </w:tc>
      </w:tr>
    </w:tbl>
    <w:p>
      <w:pPr>
        <w:spacing w:after="40"/>
      </w:pPr>
    </w:p>
    <w:p>
      <w:r>
        <w:t>Concrete, verified results for the same competitor in two different markets:</w:t>
      </w:r>
    </w:p>
    <w:p>
      <w:pPr>
        <w:spacing w:after="0" w:before="0"/>
        <w:ind w:left="216"/>
        <w:shd w:val="clear" w:color="auto" w:fill="F2F3EF"/>
      </w:pPr>
      <w:r>
        <w:rPr>
          <w:rFonts w:ascii="Consolas" w:hAnsi="Consolas"/>
          <w:color w:val="1A1A1A"/>
          <w:sz w:val="18"/>
        </w:rPr>
        <w:t>Google, Qatar         -&gt; "Ooredoo Qatar: Telecom and ICT Company in Qatar"</w:t>
      </w:r>
    </w:p>
    <w:p>
      <w:pPr>
        <w:spacing w:after="0" w:before="0"/>
        <w:ind w:left="216"/>
        <w:shd w:val="clear" w:color="auto" w:fill="F2F3EF"/>
      </w:pPr>
      <w:r>
        <w:rPr>
          <w:rFonts w:ascii="Consolas" w:hAnsi="Consolas"/>
          <w:color w:val="1A1A1A"/>
          <w:sz w:val="18"/>
        </w:rPr>
        <w:t>Google, Saudi Arabia  -&gt; "Saudi Internet Package - Ooredoo",</w:t>
      </w:r>
    </w:p>
    <w:p>
      <w:pPr>
        <w:spacing w:after="0" w:before="0"/>
        <w:ind w:left="216"/>
        <w:shd w:val="clear" w:color="auto" w:fill="F2F3EF"/>
      </w:pPr>
      <w:r>
        <w:rPr>
          <w:rFonts w:ascii="Consolas" w:hAnsi="Consolas"/>
          <w:color w:val="1A1A1A"/>
          <w:sz w:val="18"/>
        </w:rPr>
        <w:t xml:space="preserve">                         "Ooredoo Roaming is with you in Saudi Arabia!"</w:t>
      </w:r>
    </w:p>
    <w:p>
      <w:pPr>
        <w:spacing w:after="0" w:before="0"/>
        <w:ind w:left="216"/>
        <w:shd w:val="clear" w:color="auto" w:fill="F2F3EF"/>
      </w:pPr>
      <w:r>
        <w:rPr>
          <w:rFonts w:ascii="Consolas" w:hAnsi="Consolas"/>
          <w:color w:val="1A1A1A"/>
          <w:sz w:val="18"/>
        </w:rPr>
        <w:t>YouTube gl=QA vs gl=SA -&gt; different regional videos surface</w:t>
      </w:r>
    </w:p>
    <w:p>
      <w:pPr>
        <w:spacing w:after="40"/>
      </w:pPr>
    </w:p>
    <w:p>
      <w:pPr>
        <w:pStyle w:val="Heading2"/>
      </w:pPr>
      <w:r>
        <w:t>Step C — understand, score, present</w:t>
      </w:r>
    </w:p>
    <w:p>
      <w:pPr>
        <w:pStyle w:val="ListBullet"/>
      </w:pPr>
      <w:r>
        <w:rPr>
          <w:b/>
        </w:rPr>
        <w:t xml:space="preserve">Translate: </w:t>
      </w:r>
      <w:r>
        <w:t>Arabic / Arabizi headlines are translated to English in one batched flash call; the UI shows the translation only (never the Arabic original alongside it).</w:t>
      </w:r>
    </w:p>
    <w:p>
      <w:pPr>
        <w:pStyle w:val="ListBullet"/>
      </w:pPr>
      <w:r>
        <w:rPr>
          <w:b/>
        </w:rPr>
        <w:t xml:space="preserve">Score: </w:t>
      </w:r>
      <w:r>
        <w:t>Each ad gets a performance_score (e.g. Instagram = 40 + days_active); ads are sorted descending so the most-established creatives lead.</w:t>
      </w:r>
    </w:p>
    <w:p>
      <w:pPr>
        <w:pStyle w:val="ListBullet"/>
      </w:pPr>
      <w:r>
        <w:rPr>
          <w:b/>
        </w:rPr>
        <w:t xml:space="preserve">Summarise: </w:t>
      </w:r>
      <w:r>
        <w:t>Share-of-voice, top platform and platform-mix are computed on the client from the real gathered ads — so the Overview changes when the product/region changes.</w:t>
      </w:r>
    </w:p>
    <w:p>
      <w:pPr>
        <w:pStyle w:val="Heading1"/>
      </w:pPr>
      <w:r>
        <w:t>5. Search logic — two distinct stages</w:t>
      </w:r>
    </w:p>
    <w:p>
      <w:r>
        <w:t>A common question is “is this keyword search?” The honest answer is that discovery and gathering use fundamentally different techniques:</w:t>
      </w:r>
    </w:p>
    <w:p>
      <w:pPr>
        <w:pStyle w:val="ListBullet"/>
      </w:pPr>
      <w:r>
        <w:rPr>
          <w:b/>
        </w:rPr>
        <w:t xml:space="preserve">Stage 1 – Competitor discovery </w:t>
      </w:r>
      <w:r>
        <w:t>uses LLM semantic reasoning over the product/category/country. No keyword index is queried; the model infers who competes.</w:t>
      </w:r>
    </w:p>
    <w:p>
      <w:pPr>
        <w:pStyle w:val="ListBullet"/>
      </w:pPr>
      <w:r>
        <w:rPr>
          <w:b/>
        </w:rPr>
        <w:t xml:space="preserve">Stage 2 – Ad gathering </w:t>
      </w:r>
      <w:r>
        <w:t>Instagram uses deterministic handle resolution (account lookup); Google and YouTube use keyword search on the competitor name; YouTube additionally geo-targets with gl.</w:t>
      </w:r>
    </w:p>
    <w:p>
      <w:pPr>
        <w:pStyle w:val="Heading1"/>
      </w:pPr>
      <w:r>
        <w:t>6. Regional focus (geo-targeting) logic</w:t>
      </w:r>
    </w:p>
    <w:p>
      <w:r>
        <w:t>The selected country now travels end-to-end: frontend → /api/ads?country=... → _gather_platform → into each fetcher. Each platform is scoped as far as its API allows (levers confirmed by live probing):</w:t>
      </w:r>
    </w:p>
    <w:tbl>
      <w:tblPr>
        <w:tblStyle w:val="LightGrid-Accent1"/>
        <w:tblW w:type="auto" w:w="0"/>
        <w:jc w:val="left"/>
        <w:tblLook w:firstColumn="1" w:firstRow="1" w:lastColumn="0" w:lastRow="0" w:noHBand="0" w:noVBand="1" w:val="04A0"/>
      </w:tblPr>
      <w:tblGrid>
        <w:gridCol w:w="2880"/>
        <w:gridCol w:w="2880"/>
        <w:gridCol w:w="2880"/>
      </w:tblGrid>
      <w:tr>
        <w:tc>
          <w:tcPr>
            <w:tcW w:type="dxa" w:w="1440"/>
            <w:shd w:val="clear" w:color="auto" w:fill="3A4A12"/>
          </w:tcPr>
          <w:p>
            <w:r/>
            <w:r>
              <w:rPr>
                <w:b/>
                <w:color w:val="FFFFFF"/>
                <w:sz w:val="19"/>
              </w:rPr>
              <w:t>Platform</w:t>
            </w:r>
          </w:p>
        </w:tc>
        <w:tc>
          <w:tcPr>
            <w:tcW w:type="dxa" w:w="3744"/>
            <w:shd w:val="clear" w:color="auto" w:fill="3A4A12"/>
          </w:tcPr>
          <w:p>
            <w:r/>
            <w:r>
              <w:rPr>
                <w:b/>
                <w:color w:val="FFFFFF"/>
                <w:sz w:val="19"/>
              </w:rPr>
              <w:t>Geo lever</w:t>
            </w:r>
          </w:p>
        </w:tc>
        <w:tc>
          <w:tcPr>
            <w:tcW w:type="dxa" w:w="3888"/>
            <w:shd w:val="clear" w:color="auto" w:fill="3A4A12"/>
          </w:tcPr>
          <w:p>
            <w:r/>
            <w:r>
              <w:rPr>
                <w:b/>
                <w:color w:val="FFFFFF"/>
                <w:sz w:val="19"/>
              </w:rPr>
              <w:t>Notes</w:t>
            </w:r>
          </w:p>
        </w:tc>
      </w:tr>
      <w:tr>
        <w:tc>
          <w:tcPr>
            <w:tcW w:type="dxa" w:w="1440"/>
          </w:tcPr>
          <w:p>
            <w:r/>
            <w:r>
              <w:rPr>
                <w:sz w:val="19"/>
              </w:rPr>
              <w:t>YouTube</w:t>
            </w:r>
          </w:p>
        </w:tc>
        <w:tc>
          <w:tcPr>
            <w:tcW w:type="dxa" w:w="3744"/>
          </w:tcPr>
          <w:p>
            <w:r/>
            <w:r>
              <w:rPr>
                <w:sz w:val="19"/>
              </w:rPr>
              <w:t>gl=&lt;ISO&gt; (QA, SA, AE, KW, OM, BH, JO)</w:t>
            </w:r>
          </w:p>
        </w:tc>
        <w:tc>
          <w:tcPr>
            <w:tcW w:type="dxa" w:w="3888"/>
          </w:tcPr>
          <w:p>
            <w:r/>
            <w:r>
              <w:rPr>
                <w:sz w:val="19"/>
              </w:rPr>
              <w:t>Confirmed to change results by market</w:t>
            </w:r>
          </w:p>
        </w:tc>
      </w:tr>
      <w:tr>
        <w:tc>
          <w:tcPr>
            <w:tcW w:type="dxa" w:w="1440"/>
          </w:tcPr>
          <w:p>
            <w:r/>
            <w:r>
              <w:rPr>
                <w:sz w:val="19"/>
              </w:rPr>
              <w:t>Google</w:t>
            </w:r>
          </w:p>
        </w:tc>
        <w:tc>
          <w:tcPr>
            <w:tcW w:type="dxa" w:w="3744"/>
          </w:tcPr>
          <w:p>
            <w:r/>
            <w:r>
              <w:rPr>
                <w:sz w:val="19"/>
              </w:rPr>
              <w:t>Region name injected into the query</w:t>
            </w:r>
          </w:p>
        </w:tc>
        <w:tc>
          <w:tcPr>
            <w:tcW w:type="dxa" w:w="3888"/>
          </w:tcPr>
          <w:p>
            <w:r/>
            <w:r>
              <w:rPr>
                <w:sz w:val="19"/>
              </w:rPr>
              <w:t>This API ignores gl/country params</w:t>
            </w:r>
          </w:p>
        </w:tc>
      </w:tr>
      <w:tr>
        <w:tc>
          <w:tcPr>
            <w:tcW w:type="dxa" w:w="1440"/>
          </w:tcPr>
          <w:p>
            <w:r/>
            <w:r>
              <w:rPr>
                <w:sz w:val="19"/>
              </w:rPr>
              <w:t>Instagram</w:t>
            </w:r>
          </w:p>
        </w:tc>
        <w:tc>
          <w:tcPr>
            <w:tcW w:type="dxa" w:w="3744"/>
          </w:tcPr>
          <w:p>
            <w:r/>
            <w:r>
              <w:rPr>
                <w:sz w:val="19"/>
              </w:rPr>
              <w:t>Regional handle selection</w:t>
            </w:r>
          </w:p>
        </w:tc>
        <w:tc>
          <w:tcPr>
            <w:tcW w:type="dxa" w:w="3888"/>
          </w:tcPr>
          <w:p>
            <w:r/>
            <w:r>
              <w:rPr>
                <w:sz w:val="19"/>
              </w:rPr>
              <w:t>An account's posts are global</w:t>
            </w:r>
          </w:p>
        </w:tc>
      </w:tr>
      <w:tr>
        <w:tc>
          <w:tcPr>
            <w:tcW w:type="dxa" w:w="1440"/>
          </w:tcPr>
          <w:p>
            <w:r/>
            <w:r>
              <w:rPr>
                <w:sz w:val="19"/>
              </w:rPr>
              <w:t>Facebook</w:t>
            </w:r>
          </w:p>
        </w:tc>
        <w:tc>
          <w:tcPr>
            <w:tcW w:type="dxa" w:w="3744"/>
          </w:tcPr>
          <w:p>
            <w:r/>
            <w:r>
              <w:rPr>
                <w:sz w:val="19"/>
              </w:rPr>
              <w:t>country=QA in Meta Ad Library link</w:t>
            </w:r>
          </w:p>
        </w:tc>
        <w:tc>
          <w:tcPr>
            <w:tcW w:type="dxa" w:w="3888"/>
          </w:tcPr>
          <w:p>
            <w:r/>
            <w:r>
              <w:rPr>
                <w:sz w:val="19"/>
              </w:rPr>
              <w:t>Strongest per-country signal (if wired)</w:t>
            </w:r>
          </w:p>
        </w:tc>
      </w:tr>
    </w:tbl>
    <w:p>
      <w:pPr>
        <w:spacing w:after="40"/>
      </w:pPr>
    </w:p>
    <w:p>
      <w:r>
        <w:t>“All regions” gathers without a country filter (broad pan-regional view) and is labelled “GCC &amp; Levant”. Every ad is stamped with the market it came from, shown as a 📍 pill on the card. Cache keys include the country, so Qatar and Saudi results never collide.</w:t>
      </w:r>
    </w:p>
    <w:p>
      <w:pPr>
        <w:pStyle w:val="Heading1"/>
      </w:pPr>
      <w:r>
        <w:t>7. Data-source status (live-verified)</w:t>
      </w:r>
    </w:p>
    <w:tbl>
      <w:tblPr>
        <w:tblStyle w:val="LightGrid-Accent1"/>
        <w:tblW w:type="auto" w:w="0"/>
        <w:jc w:val="left"/>
        <w:tblLook w:firstColumn="1" w:firstRow="1" w:lastColumn="0" w:lastRow="0" w:noHBand="0" w:noVBand="1" w:val="04A0"/>
      </w:tblPr>
      <w:tblGrid>
        <w:gridCol w:w="2880"/>
        <w:gridCol w:w="2880"/>
        <w:gridCol w:w="2880"/>
      </w:tblGrid>
      <w:tr>
        <w:tc>
          <w:tcPr>
            <w:tcW w:type="dxa" w:w="1440"/>
            <w:shd w:val="clear" w:color="auto" w:fill="3A4A12"/>
          </w:tcPr>
          <w:p>
            <w:r/>
            <w:r>
              <w:rPr>
                <w:b/>
                <w:color w:val="FFFFFF"/>
                <w:sz w:val="19"/>
              </w:rPr>
              <w:t>Source</w:t>
            </w:r>
          </w:p>
        </w:tc>
        <w:tc>
          <w:tcPr>
            <w:tcW w:type="dxa" w:w="3312"/>
            <w:shd w:val="clear" w:color="auto" w:fill="3A4A12"/>
          </w:tcPr>
          <w:p>
            <w:r/>
            <w:r>
              <w:rPr>
                <w:b/>
                <w:color w:val="FFFFFF"/>
                <w:sz w:val="19"/>
              </w:rPr>
              <w:t>RapidAPI host</w:t>
            </w:r>
          </w:p>
        </w:tc>
        <w:tc>
          <w:tcPr>
            <w:tcW w:type="dxa" w:w="4320"/>
            <w:shd w:val="clear" w:color="auto" w:fill="3A4A12"/>
          </w:tcPr>
          <w:p>
            <w:r/>
            <w:r>
              <w:rPr>
                <w:b/>
                <w:color w:val="FFFFFF"/>
                <w:sz w:val="19"/>
              </w:rPr>
              <w:t>Status</w:t>
            </w:r>
          </w:p>
        </w:tc>
      </w:tr>
      <w:tr>
        <w:tc>
          <w:tcPr>
            <w:tcW w:type="dxa" w:w="1440"/>
          </w:tcPr>
          <w:p>
            <w:r/>
            <w:r>
              <w:rPr>
                <w:sz w:val="19"/>
              </w:rPr>
              <w:t>Instagram</w:t>
            </w:r>
          </w:p>
        </w:tc>
        <w:tc>
          <w:tcPr>
            <w:tcW w:type="dxa" w:w="3312"/>
          </w:tcPr>
          <w:p>
            <w:r/>
            <w:r>
              <w:rPr>
                <w:sz w:val="19"/>
              </w:rPr>
              <w:t>instagram120</w:t>
            </w:r>
          </w:p>
        </w:tc>
        <w:tc>
          <w:tcPr>
            <w:tcW w:type="dxa" w:w="4320"/>
          </w:tcPr>
          <w:p>
            <w:r/>
            <w:r>
              <w:rPr>
                <w:sz w:val="19"/>
              </w:rPr>
              <w:t>LIVE – returns account posts</w:t>
            </w:r>
          </w:p>
        </w:tc>
      </w:tr>
      <w:tr>
        <w:tc>
          <w:tcPr>
            <w:tcW w:type="dxa" w:w="1440"/>
          </w:tcPr>
          <w:p>
            <w:r/>
            <w:r>
              <w:rPr>
                <w:sz w:val="19"/>
              </w:rPr>
              <w:t>Google</w:t>
            </w:r>
          </w:p>
        </w:tc>
        <w:tc>
          <w:tcPr>
            <w:tcW w:type="dxa" w:w="3312"/>
          </w:tcPr>
          <w:p>
            <w:r/>
            <w:r>
              <w:rPr>
                <w:sz w:val="19"/>
              </w:rPr>
              <w:t>google-search74</w:t>
            </w:r>
          </w:p>
        </w:tc>
        <w:tc>
          <w:tcPr>
            <w:tcW w:type="dxa" w:w="4320"/>
          </w:tcPr>
          <w:p>
            <w:r/>
            <w:r>
              <w:rPr>
                <w:sz w:val="19"/>
              </w:rPr>
              <w:t>LIVE – returns search results</w:t>
            </w:r>
          </w:p>
        </w:tc>
      </w:tr>
      <w:tr>
        <w:tc>
          <w:tcPr>
            <w:tcW w:type="dxa" w:w="1440"/>
          </w:tcPr>
          <w:p>
            <w:r/>
            <w:r>
              <w:rPr>
                <w:sz w:val="19"/>
              </w:rPr>
              <w:t>YouTube</w:t>
            </w:r>
          </w:p>
        </w:tc>
        <w:tc>
          <w:tcPr>
            <w:tcW w:type="dxa" w:w="3312"/>
          </w:tcPr>
          <w:p>
            <w:r/>
            <w:r>
              <w:rPr>
                <w:sz w:val="19"/>
              </w:rPr>
              <w:t>youtube138</w:t>
            </w:r>
          </w:p>
        </w:tc>
        <w:tc>
          <w:tcPr>
            <w:tcW w:type="dxa" w:w="4320"/>
          </w:tcPr>
          <w:p>
            <w:r/>
            <w:r>
              <w:rPr>
                <w:sz w:val="19"/>
              </w:rPr>
              <w:t>LIVE – returns videos, geo-aware</w:t>
            </w:r>
          </w:p>
        </w:tc>
      </w:tr>
      <w:tr>
        <w:tc>
          <w:tcPr>
            <w:tcW w:type="dxa" w:w="1440"/>
          </w:tcPr>
          <w:p>
            <w:r/>
            <w:r>
              <w:rPr>
                <w:sz w:val="19"/>
              </w:rPr>
              <w:t>Facebook</w:t>
            </w:r>
          </w:p>
        </w:tc>
        <w:tc>
          <w:tcPr>
            <w:tcW w:type="dxa" w:w="3312"/>
          </w:tcPr>
          <w:p>
            <w:r/>
            <w:r>
              <w:rPr>
                <w:sz w:val="19"/>
              </w:rPr>
              <w:t>facebook-pages-scraper2</w:t>
            </w:r>
          </w:p>
        </w:tc>
        <w:tc>
          <w:tcPr>
            <w:tcW w:type="dxa" w:w="4320"/>
          </w:tcPr>
          <w:p>
            <w:r/>
            <w:r>
              <w:rPr>
                <w:sz w:val="19"/>
              </w:rPr>
              <w:t>PARTIAL – page details + ad status only; no posts endpoint</w:t>
            </w:r>
          </w:p>
        </w:tc>
      </w:tr>
      <w:tr>
        <w:tc>
          <w:tcPr>
            <w:tcW w:type="dxa" w:w="1440"/>
          </w:tcPr>
          <w:p>
            <w:r/>
            <w:r>
              <w:rPr>
                <w:sz w:val="19"/>
              </w:rPr>
              <w:t>LinkedIn</w:t>
            </w:r>
          </w:p>
        </w:tc>
        <w:tc>
          <w:tcPr>
            <w:tcW w:type="dxa" w:w="3312"/>
          </w:tcPr>
          <w:p>
            <w:r/>
            <w:r>
              <w:rPr>
                <w:sz w:val="19"/>
              </w:rPr>
              <w:t>linkedin-data-api</w:t>
            </w:r>
          </w:p>
        </w:tc>
        <w:tc>
          <w:tcPr>
            <w:tcW w:type="dxa" w:w="4320"/>
          </w:tcPr>
          <w:p>
            <w:r/>
            <w:r>
              <w:rPr>
                <w:sz w:val="19"/>
              </w:rPr>
              <w:t>UNAVAILABLE – provider discontinued the service</w:t>
            </w:r>
          </w:p>
        </w:tc>
      </w:tr>
    </w:tbl>
    <w:p>
      <w:pPr>
        <w:spacing w:after="40"/>
      </w:pPr>
    </w:p>
    <w:p>
      <w:r>
        <w:t>The Facebook scraper does expose ad_page_id and “This Page is currently running ads”, which can deep-link to Meta's public Ad Library — the authoritative source of a page's live ads.</w:t>
      </w:r>
    </w:p>
    <w:p>
      <w:pPr>
        <w:pStyle w:val="Heading1"/>
      </w:pPr>
      <w:r>
        <w:t>8. Resilience &amp; fallback ladder</w:t>
      </w:r>
    </w:p>
    <w:p>
      <w:r>
        <w:t>The app is designed to never break on an external failure. Every gather resolves through a strict fallback ladder:</w:t>
      </w:r>
    </w:p>
    <w:p>
      <w:pPr>
        <w:spacing w:after="0" w:before="0"/>
        <w:ind w:left="216"/>
        <w:shd w:val="clear" w:color="auto" w:fill="F2F3EF"/>
      </w:pPr>
      <w:r>
        <w:rPr>
          <w:rFonts w:ascii="Consolas" w:hAnsi="Consolas"/>
          <w:color w:val="1A1A1A"/>
          <w:sz w:val="18"/>
        </w:rPr>
        <w:t>cache (Turso, non-empty only)</w:t>
      </w:r>
    </w:p>
    <w:p>
      <w:pPr>
        <w:spacing w:after="0" w:before="0"/>
        <w:ind w:left="216"/>
        <w:shd w:val="clear" w:color="auto" w:fill="F2F3EF"/>
      </w:pPr>
      <w:r>
        <w:rPr>
          <w:rFonts w:ascii="Consolas" w:hAnsi="Consolas"/>
          <w:color w:val="1A1A1A"/>
          <w:sz w:val="18"/>
        </w:rPr>
        <w:t xml:space="preserve">   ↓ miss</w:t>
      </w:r>
    </w:p>
    <w:p>
      <w:pPr>
        <w:spacing w:after="0" w:before="0"/>
        <w:ind w:left="216"/>
        <w:shd w:val="clear" w:color="auto" w:fill="F2F3EF"/>
      </w:pPr>
      <w:r>
        <w:rPr>
          <w:rFonts w:ascii="Consolas" w:hAnsi="Consolas"/>
          <w:color w:val="1A1A1A"/>
          <w:sz w:val="18"/>
        </w:rPr>
        <w:t>live API / flash model  (timeout + try/except; failure returns [] or None)</w:t>
      </w:r>
    </w:p>
    <w:p>
      <w:pPr>
        <w:spacing w:after="0" w:before="0"/>
        <w:ind w:left="216"/>
        <w:shd w:val="clear" w:color="auto" w:fill="F2F3EF"/>
      </w:pPr>
      <w:r>
        <w:rPr>
          <w:rFonts w:ascii="Consolas" w:hAnsi="Consolas"/>
          <w:color w:val="1A1A1A"/>
          <w:sz w:val="18"/>
        </w:rPr>
        <w:t xml:space="preserve">   ↓ nothing gathered</w:t>
      </w:r>
    </w:p>
    <w:p>
      <w:pPr>
        <w:spacing w:after="0" w:before="0"/>
        <w:ind w:left="216"/>
        <w:shd w:val="clear" w:color="auto" w:fill="F2F3EF"/>
      </w:pPr>
      <w:r>
        <w:rPr>
          <w:rFonts w:ascii="Consolas" w:hAnsi="Consolas"/>
          <w:color w:val="1A1A1A"/>
          <w:sz w:val="18"/>
        </w:rPr>
        <w:t>mock data  (always available, keeps the UI explorable)</w:t>
      </w:r>
    </w:p>
    <w:p>
      <w:pPr>
        <w:spacing w:after="40"/>
      </w:pPr>
    </w:p>
    <w:p>
      <w:pPr>
        <w:pStyle w:val="ListBullet"/>
      </w:pPr>
      <w:r>
        <w:rPr>
          <w:b/>
        </w:rPr>
        <w:t xml:space="preserve">Cache hygiene: </w:t>
      </w:r>
      <w:r>
        <w:t>Only NON-empty results are cached, so a transient API failure cannot poison the cache with an empty result for 6 hours.</w:t>
      </w:r>
    </w:p>
    <w:p>
      <w:pPr>
        <w:pStyle w:val="ListBullet"/>
      </w:pPr>
      <w:r>
        <w:rPr>
          <w:b/>
        </w:rPr>
        <w:t xml:space="preserve">Isolation: </w:t>
      </w:r>
      <w:r>
        <w:t>Every RapidAPI call has a 25s timeout and is wrapped to return None on any error; the caller then falls back — the request never raises.</w:t>
      </w:r>
    </w:p>
    <w:p>
      <w:pPr>
        <w:pStyle w:val="ListBullet"/>
      </w:pPr>
      <w:r>
        <w:rPr>
          <w:b/>
        </w:rPr>
        <w:t xml:space="preserve">DB optional: </w:t>
      </w:r>
      <w:r>
        <w:t>The database is an accelerator, never a hard dependency; any DB error returns a safe default and the app continues on live/mock.</w:t>
      </w:r>
    </w:p>
    <w:p>
      <w:pPr>
        <w:pStyle w:val="Heading1"/>
      </w:pPr>
      <w:r>
        <w:t>9. Caching &amp; performance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440"/>
            <w:shd w:val="clear" w:color="auto" w:fill="3A4A12"/>
          </w:tcPr>
          <w:p>
            <w:r/>
            <w:r>
              <w:rPr>
                <w:b/>
                <w:color w:val="FFFFFF"/>
                <w:sz w:val="19"/>
              </w:rPr>
              <w:t>Cache</w:t>
            </w:r>
          </w:p>
        </w:tc>
        <w:tc>
          <w:tcPr>
            <w:tcW w:type="dxa" w:w="4176"/>
            <w:shd w:val="clear" w:color="auto" w:fill="3A4A12"/>
          </w:tcPr>
          <w:p>
            <w:r/>
            <w:r>
              <w:rPr>
                <w:b/>
                <w:color w:val="FFFFFF"/>
                <w:sz w:val="19"/>
              </w:rPr>
              <w:t>Key</w:t>
            </w:r>
          </w:p>
        </w:tc>
        <w:tc>
          <w:tcPr>
            <w:tcW w:type="dxa" w:w="1152"/>
            <w:shd w:val="clear" w:color="auto" w:fill="3A4A12"/>
          </w:tcPr>
          <w:p>
            <w:r/>
            <w:r>
              <w:rPr>
                <w:b/>
                <w:color w:val="FFFFFF"/>
                <w:sz w:val="19"/>
              </w:rPr>
              <w:t>TTL</w:t>
            </w:r>
          </w:p>
        </w:tc>
        <w:tc>
          <w:tcPr>
            <w:tcW w:type="dxa" w:w="2880"/>
            <w:shd w:val="clear" w:color="auto" w:fill="3A4A12"/>
          </w:tcPr>
          <w:p>
            <w:r/>
            <w:r>
              <w:rPr>
                <w:b/>
                <w:color w:val="FFFFFF"/>
                <w:sz w:val="19"/>
              </w:rPr>
              <w:t>Measured effect</w:t>
            </w:r>
          </w:p>
        </w:tc>
      </w:tr>
      <w:tr>
        <w:tc>
          <w:tcPr>
            <w:tcW w:type="dxa" w:w="1440"/>
          </w:tcPr>
          <w:p>
            <w:r/>
            <w:r>
              <w:rPr>
                <w:sz w:val="19"/>
              </w:rPr>
              <w:t>Ads</w:t>
            </w:r>
          </w:p>
        </w:tc>
        <w:tc>
          <w:tcPr>
            <w:tcW w:type="dxa" w:w="4176"/>
          </w:tcPr>
          <w:p>
            <w:r/>
            <w:r>
              <w:rPr>
                <w:sz w:val="19"/>
              </w:rPr>
              <w:t>ads:&lt;advertiser&gt;:&lt;platform&gt;:&lt;country&gt;</w:t>
            </w:r>
          </w:p>
        </w:tc>
        <w:tc>
          <w:tcPr>
            <w:tcW w:type="dxa" w:w="1152"/>
          </w:tcPr>
          <w:p>
            <w:r/>
            <w:r>
              <w:rPr>
                <w:sz w:val="19"/>
              </w:rPr>
              <w:t>6 hours</w:t>
            </w:r>
          </w:p>
        </w:tc>
        <w:tc>
          <w:tcPr>
            <w:tcW w:type="dxa" w:w="2880"/>
          </w:tcPr>
          <w:p>
            <w:r/>
            <w:r>
              <w:rPr>
                <w:sz w:val="19"/>
              </w:rPr>
              <w:t>cold ~11.6s → warm ~0.13s (≈90×)</w:t>
            </w:r>
          </w:p>
        </w:tc>
      </w:tr>
      <w:tr>
        <w:tc>
          <w:tcPr>
            <w:tcW w:type="dxa" w:w="1440"/>
          </w:tcPr>
          <w:p>
            <w:r/>
            <w:r>
              <w:rPr>
                <w:sz w:val="19"/>
              </w:rPr>
              <w:t>Competitors</w:t>
            </w:r>
          </w:p>
        </w:tc>
        <w:tc>
          <w:tcPr>
            <w:tcW w:type="dxa" w:w="4176"/>
          </w:tcPr>
          <w:p>
            <w:r/>
            <w:r>
              <w:rPr>
                <w:sz w:val="19"/>
              </w:rPr>
              <w:t>(product, country)</w:t>
            </w:r>
          </w:p>
        </w:tc>
        <w:tc>
          <w:tcPr>
            <w:tcW w:type="dxa" w:w="1152"/>
          </w:tcPr>
          <w:p>
            <w:r/>
            <w:r>
              <w:rPr>
                <w:sz w:val="19"/>
              </w:rPr>
              <w:t>24 hours</w:t>
            </w:r>
          </w:p>
        </w:tc>
        <w:tc>
          <w:tcPr>
            <w:tcW w:type="dxa" w:w="2880"/>
          </w:tcPr>
          <w:p>
            <w:r/>
            <w:r>
              <w:rPr>
                <w:sz w:val="19"/>
              </w:rPr>
              <w:t>cold ~7.3s → warm ~0.13s</w:t>
            </w:r>
          </w:p>
        </w:tc>
      </w:tr>
    </w:tbl>
    <w:p>
      <w:pPr>
        <w:spacing w:after="40"/>
      </w:pPr>
    </w:p>
    <w:p>
      <w:r>
        <w:t>The dashboard currently gathers the top 3 confirmed competitors on load (a deliberate throttle for responsiveness and free-tier API quota); each is fetched across all live platforms and cached independently.</w:t>
      </w:r>
    </w:p>
    <w:p>
      <w:pPr>
        <w:pStyle w:val="Heading1"/>
      </w:pPr>
      <w:r>
        <w:t>10. Security measures</w:t>
      </w:r>
    </w:p>
    <w:p>
      <w:pPr>
        <w:pStyle w:val="ListBullet"/>
      </w:pPr>
      <w:r>
        <w:rPr>
          <w:b/>
        </w:rPr>
        <w:t xml:space="preserve">Secrets: </w:t>
      </w:r>
      <w:r>
        <w:t>All credentials (OpenRouter, RapidAPI, Turso) live only in a gitignored backend/.env, loaded via pydantic-settings. They are never hardcoded, never logged, never returned to the client.</w:t>
      </w:r>
    </w:p>
    <w:p>
      <w:pPr>
        <w:pStyle w:val="ListBullet"/>
      </w:pPr>
      <w:r>
        <w:rPr>
          <w:b/>
        </w:rPr>
        <w:t xml:space="preserve">Isolation: </w:t>
      </w:r>
      <w:r>
        <w:t>The frontend talks only to the backend; it never sees any third-party API key.</w:t>
      </w:r>
    </w:p>
    <w:p>
      <w:pPr>
        <w:pStyle w:val="ListBullet"/>
      </w:pPr>
      <w:r>
        <w:rPr>
          <w:b/>
        </w:rPr>
        <w:t xml:space="preserve">Rotation: </w:t>
      </w:r>
      <w:r>
        <w:t>Keys shared during setup should be rotated after testing — flagged in .env itself.</w:t>
      </w:r>
    </w:p>
    <w:p>
      <w:pPr>
        <w:pStyle w:val="ListBullet"/>
      </w:pPr>
      <w:r>
        <w:rPr>
          <w:b/>
        </w:rPr>
        <w:t xml:space="preserve">Transport: </w:t>
      </w:r>
      <w:r>
        <w:t>libsql:// is upgraded to https:// for a reliable, encrypted transport to Turso.</w:t>
      </w:r>
    </w:p>
    <w:p>
      <w:pPr>
        <w:pStyle w:val="Heading1"/>
      </w:pPr>
      <w:r>
        <w:t>11. Core data model</w:t>
      </w:r>
    </w:p>
    <w:p>
      <w:r>
        <w:t>The three shared entities (Pydantic on the backend, TypeScript on the frontend):</w:t>
      </w:r>
    </w:p>
    <w:p>
      <w:pPr>
        <w:spacing w:after="0" w:before="0"/>
        <w:ind w:left="216"/>
        <w:shd w:val="clear" w:color="auto" w:fill="F2F3EF"/>
      </w:pPr>
      <w:r>
        <w:rPr>
          <w:rFonts w:ascii="Consolas" w:hAnsi="Consolas"/>
          <w:color w:val="1A1A1A"/>
          <w:sz w:val="18"/>
        </w:rPr>
        <w:t>Product     { name, category, country, known_competitors[], platforms[] }</w:t>
      </w:r>
    </w:p>
    <w:p>
      <w:pPr>
        <w:spacing w:after="0" w:before="0"/>
        <w:ind w:left="216"/>
        <w:shd w:val="clear" w:color="auto" w:fill="F2F3EF"/>
      </w:pPr>
      <w:r>
        <w:rPr>
          <w:rFonts w:ascii="Consolas" w:hAnsi="Consolas"/>
          <w:color w:val="1A1A1A"/>
          <w:sz w:val="18"/>
        </w:rPr>
        <w:t>Competitor  { id, name, reason, tier(direct|category|adjacent),</w:t>
      </w:r>
    </w:p>
    <w:p>
      <w:pPr>
        <w:spacing w:after="0" w:before="0"/>
        <w:ind w:left="216"/>
        <w:shd w:val="clear" w:color="auto" w:fill="F2F3EF"/>
      </w:pPr>
      <w:r>
        <w:rPr>
          <w:rFonts w:ascii="Consolas" w:hAnsi="Consolas"/>
          <w:color w:val="1A1A1A"/>
          <w:sz w:val="18"/>
        </w:rPr>
        <w:t xml:space="preserve">              confidence 0..1, share_of_voice? }</w:t>
      </w:r>
    </w:p>
    <w:p>
      <w:pPr>
        <w:spacing w:after="0" w:before="0"/>
        <w:ind w:left="216"/>
        <w:shd w:val="clear" w:color="auto" w:fill="F2F3EF"/>
      </w:pPr>
      <w:r>
        <w:rPr>
          <w:rFonts w:ascii="Consolas" w:hAnsi="Consolas"/>
          <w:color w:val="1A1A1A"/>
          <w:sz w:val="18"/>
        </w:rPr>
        <w:t>Ad          { id, advertiser, platform, country, format, language,</w:t>
      </w:r>
    </w:p>
    <w:p>
      <w:pPr>
        <w:spacing w:after="0" w:before="0"/>
        <w:ind w:left="216"/>
        <w:shd w:val="clear" w:color="auto" w:fill="F2F3EF"/>
      </w:pPr>
      <w:r>
        <w:rPr>
          <w:rFonts w:ascii="Consolas" w:hAnsi="Consolas"/>
          <w:color w:val="1A1A1A"/>
          <w:sz w:val="18"/>
        </w:rPr>
        <w:t xml:space="preserve">              headline_original, headline_translation, offer_type,</w:t>
      </w:r>
    </w:p>
    <w:p>
      <w:pPr>
        <w:spacing w:after="0" w:before="0"/>
        <w:ind w:left="216"/>
        <w:shd w:val="clear" w:color="auto" w:fill="F2F3EF"/>
      </w:pPr>
      <w:r>
        <w:rPr>
          <w:rFonts w:ascii="Consolas" w:hAnsi="Consolas"/>
          <w:color w:val="1A1A1A"/>
          <w:sz w:val="18"/>
        </w:rPr>
        <w:t xml:space="preserve">              days_active, performance_score, first_seen, url }</w:t>
      </w:r>
    </w:p>
    <w:p>
      <w:pPr>
        <w:spacing w:after="40"/>
      </w:pPr>
    </w:p>
    <w:p>
      <w:pPr>
        <w:pStyle w:val="Heading1"/>
      </w:pPr>
      <w:r>
        <w:t>12. Known limitations &amp; roadmap</w:t>
      </w:r>
    </w:p>
    <w:p>
      <w:pPr>
        <w:pStyle w:val="ListBullet"/>
      </w:pPr>
      <w:r>
        <w:rPr>
          <w:b/>
        </w:rPr>
        <w:t xml:space="preserve">Facebook: </w:t>
      </w:r>
      <w:r>
        <w:t>Facebook ad creatives are not yet in the feed — only page details are available; wiring the Meta Ad Library deep-link is the recommended next step.</w:t>
      </w:r>
    </w:p>
    <w:p>
      <w:pPr>
        <w:pStyle w:val="ListBullet"/>
      </w:pPr>
      <w:r>
        <w:rPr>
          <w:b/>
        </w:rPr>
        <w:t xml:space="preserve">LinkedIn: </w:t>
      </w:r>
      <w:r>
        <w:t>Unavailable via the current RapidAPI provider; would require a different data source.</w:t>
      </w:r>
    </w:p>
    <w:p>
      <w:pPr>
        <w:pStyle w:val="ListBullet"/>
      </w:pPr>
      <w:r>
        <w:rPr>
          <w:b/>
        </w:rPr>
        <w:t xml:space="preserve">Google: </w:t>
      </w:r>
      <w:r>
        <w:t>Its geo-targeting is query-biased (favours the market) rather than a hard geo-filter, so an occasional global/corporate result can appear.</w:t>
      </w:r>
    </w:p>
    <w:p>
      <w:pPr>
        <w:pStyle w:val="ListBullet"/>
      </w:pPr>
      <w:r>
        <w:rPr>
          <w:b/>
        </w:rPr>
        <w:t xml:space="preserve">Coverage: </w:t>
      </w:r>
      <w:r>
        <w:t>The dashboard shows the top 3 competitors; a “load more” control would surface the rest without a silent cap.</w:t>
      </w:r>
    </w:p>
    <w:p>
      <w:pPr>
        <w:pStyle w:val="ListBullet"/>
      </w:pPr>
      <w:r>
        <w:rPr>
          <w:b/>
        </w:rPr>
        <w:t xml:space="preserve">Instagram: </w:t>
      </w:r>
      <w:r>
        <w:t>Instagram handle resolution is best-effort; brands whose handle differs from their name may need an override entry.</w:t>
      </w:r>
    </w:p>
    <w:p/>
    <w:p>
      <w:r>
        <w:rPr>
          <w:i/>
          <w:color w:val="555555"/>
          <w:sz w:val="18"/>
        </w:rPr>
        <w:t>This report reflects the application exactly as implemented in the current codebase (backend/app and frontend/src). All example outputs and geo results were produced by live calls against the wired APIs.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F7A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0A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