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line="252" w:lineRule="auto"/>
        <w:jc w:val="center"/>
      </w:pPr>
      <w:r>
        <w:rPr>
          <w:rFonts w:ascii="Times New Roman" w:hAnsi="Times New Roman"/>
          <w:b/>
          <w:i w:val="0"/>
          <w:sz w:val="36"/>
        </w:rPr>
        <w:t>Intelligent Demand Forecasting and Stochastic Inventory Replenishment for Perishable Food Retail: An Empirical Benchmark and Full-Stack Platform</w:t>
      </w:r>
    </w:p>
    <w:p>
      <w:pPr>
        <w:spacing w:before="0" w:after="240" w:line="252" w:lineRule="auto"/>
        <w:jc w:val="center"/>
      </w:pPr>
      <w:r>
        <w:rPr>
          <w:rFonts w:ascii="Times New Roman" w:hAnsi="Times New Roman"/>
          <w:b w:val="0"/>
          <w:i w:val="0"/>
          <w:sz w:val="20"/>
        </w:rPr>
        <w:t>Yatin Patil, Soumy Raghuvanshi, Chinmay Patil, and Srikanth Pulipeti</w:t>
        <w:br/>
        <w:t>Department of Information Technology, Mukesh Patel School of Technology Management &amp; Engineering</w:t>
        <w:br/>
        <w:t>SVKM's NMIMS (Deemed-to-be University), Shirpur Campus, Maharashtra, India</w:t>
        <w:br/>
        <w:t>{yatin.patil43, soumy.raghuvanshi16, chinmay.patil23}@nmims.edu.in, srikanth.pulipeti@nmims.edu</w:t>
      </w:r>
    </w:p>
    <w:p>
      <w:pPr>
        <w:spacing w:before="80" w:after="80" w:line="252" w:lineRule="auto"/>
        <w:jc w:val="both"/>
      </w:pPr>
      <w:r>
        <w:rPr>
          <w:rFonts w:ascii="Times New Roman" w:hAnsi="Times New Roman"/>
          <w:b w:val="0"/>
          <w:i w:val="0"/>
          <w:sz w:val="18"/>
        </w:rPr>
        <w:t>Abstract—</w:t>
      </w:r>
      <w:r>
        <w:rPr>
          <w:rFonts w:ascii="Times New Roman" w:hAnsi="Times New Roman"/>
          <w:b w:val="0"/>
          <w:i w:val="0"/>
          <w:sz w:val="18"/>
        </w:rPr>
        <w:t>Perishable food retail, such as artisan bakeries and local delicatessens, operates under an unforgiving operational dilemma: products possess an ultra-short commercial shelf life of 12 to 24 hours, precluding multi-period inventory carryover and causing physical discard rates of 15% to 30%. Independent food retailers lack enterprise analytics infrastructure, relying on manual heuristics that amplify asymmetric losses between under-baking stockouts and over-baking spoilage. This paper presents an end-to-end, decoupled cloud-to-mobile operational decision-support platform integrating time-series decomposition, gradient boosted decision trees, single-period stochastic inventory control, and grounded conversational AI. Using 637 calendar days of real-world point-of-sale transaction data (329,803 units across 35 SKUs) from an artisan food retailer, we conduct an expanding-window rolling benchmark across 38 weekly horizons. Empirical evaluation reveals that incorporating day-ahead point-of-sale telemetry (Control 3) improves pooled Weighted Absolute Percentage Error (WAPE) by +2.47 percentage points over the Bayesian Prophet baseline (25.48% vs 27.95%; 27/38 fold wins; paired cluster bootstrap 95% CI [+0.49, +4.76], exact sign-test p = 0.0138). During acute summer peak stress testing, a feature-stacked Prophet + HistGradientBoostingRegressor hybrid achieves 30.13% WAPE, outperforming classical Seasonal Naive (30.39%) and moving-average benchmarks (39.31%). Exogenous weather regressors are rejected after 200-iteration circular-shift placebo testing demonstrates that apparent gains stem from spurious macro-seasonality. Under an asymmetric Newsvendor Critical Ratio ordering policy (CR = 0.60, z* = +0.2533), physical food waste is reduced by 64.4% (-16,243 units) while increasing net trading profit by +€5,092.07 compared to standard high-service heuristics. The architecture is deployed as a containerized FastAPI REST backend, MongoDB Atlas persistence, and a cross-platform Flutter client with zero-math grounded LLM briefings, validated by 51 passing automated tests.</w:t>
      </w:r>
    </w:p>
    <w:p>
      <w:pPr>
        <w:spacing w:before="0" w:after="240" w:line="252" w:lineRule="auto"/>
        <w:jc w:val="both"/>
      </w:pPr>
      <w:r>
        <w:rPr>
          <w:rFonts w:ascii="Times New Roman" w:hAnsi="Times New Roman"/>
          <w:b w:val="0"/>
          <w:i w:val="0"/>
          <w:sz w:val="18"/>
        </w:rPr>
        <w:t>Index Terms—</w:t>
      </w:r>
      <w:r>
        <w:rPr>
          <w:rFonts w:ascii="Times New Roman" w:hAnsi="Times New Roman"/>
          <w:b w:val="0"/>
          <w:i w:val="0"/>
          <w:sz w:val="18"/>
        </w:rPr>
        <w:t>Demand forecasting, Perishable inventory, Gradient boosted decision trees, Newsvendor problem, Food waste reduction, Time-series decomposition, Cloud-to-mobile architecture.</w:t>
      </w:r>
    </w:p>
    <w:p>
      <w:pPr>
        <w:spacing w:before="200" w:after="60" w:line="252" w:lineRule="auto"/>
        <w:jc w:val="center"/>
      </w:pPr>
      <w:r>
        <w:rPr>
          <w:rFonts w:ascii="Times New Roman" w:hAnsi="Times New Roman"/>
          <w:b/>
          <w:i w:val="0"/>
          <w:sz w:val="20"/>
        </w:rPr>
        <w:t>I.  INTRODUCTION</w:t>
      </w:r>
    </w:p>
    <w:p>
      <w:pPr>
        <w:spacing w:before="0" w:after="80" w:line="252" w:lineRule="auto"/>
        <w:jc w:val="both"/>
      </w:pPr>
      <w:r>
        <w:rPr>
          <w:rFonts w:ascii="Times New Roman" w:hAnsi="Times New Roman"/>
          <w:b w:val="0"/>
          <w:i w:val="0"/>
          <w:sz w:val="20"/>
        </w:rPr>
        <w:t>Perishable food retail—including artisan bakeries, patisseries, and fresh delicatessens—represents an essential foundation of urban food commerce. Unlike consumer electronics or shelf-stable packaged goods, fresh bakery items undergo rapid biological degradation. Starch retrogradation and moisture redistribution render crusty baguettes and viennoiseries unsaleable within 12 to 24 hours of morning baking. Consequently, store managers face a daily stochastic optimization trade-off: over-baking causes direct financial forfeiture of raw materials and skilled artisan labor, whereas under-baking induces premature afternoon stockouts, forfeiting gross margins and eroding customer footfall to local competitors. Demand is heavily non-stationary, characterized by strong day-of-week seasonality, statutory holidays, and acute macro-seasonal tourist surges [1].</w:t>
      </w:r>
    </w:p>
    <w:p>
      <w:pPr>
        <w:spacing w:before="0" w:after="80" w:line="252" w:lineRule="auto"/>
        <w:jc w:val="both"/>
      </w:pPr>
      <w:r>
        <w:rPr>
          <w:rFonts w:ascii="Times New Roman" w:hAnsi="Times New Roman"/>
          <w:b w:val="0"/>
          <w:i w:val="0"/>
          <w:sz w:val="20"/>
        </w:rPr>
        <w:t>While large supermarket conglomerates deploy enterprise forecasting systems supported by specialized analytics departments [2], independent small and medium enterprises (SMEs) predominantly operate on intuitive guesswork or static pen-and-paper ledgers. As observed across retail field audits, this informal heuristic approach yields daily food waste levels between 15% and 30% of production, imposing an economically unsustainable burden on thin operating margins [3], [4].</w:t>
      </w:r>
    </w:p>
    <w:p>
      <w:pPr>
        <w:spacing w:before="0" w:after="80" w:line="252" w:lineRule="auto"/>
        <w:jc w:val="both"/>
      </w:pPr>
      <w:r>
        <w:rPr>
          <w:rFonts w:ascii="Times New Roman" w:hAnsi="Times New Roman"/>
          <w:b w:val="0"/>
          <w:i w:val="0"/>
          <w:sz w:val="20"/>
        </w:rPr>
        <w:t>A rigorous examination of SME retail operations reveals four fundamental operational and research gaps: (1) The Forecast-to-Action Decision Gap: Classical machine learning pipelines optimize symmetric error losses (RMSE, WAPE), providing point predictions (e.g., 45 baguettes) without translating stochastic variance into an asymmetric production order quantity [5], [6]; (2) Multi-Day Batch vs. Day-Ahead Telemetry Gap: Weekly batch forecasts neglect the predictive value of immediate previous-day trading momentum [7], [8]; (3) The Accessibility and Compute Barrier: Enterprise analytics require dedicated data engineering teams, whereas micro-retailers demand zero-overhead mobile tools functioning reliably on commodity hardware [13], [14]; and (4) Fragmented Waste Mitigation: Production scheduling and intraday waste mitigation are managed in isolation, lacking deterministic mid-day rules for dynamic markdown discounts and charity donation flagging [15], [16].</w:t>
      </w:r>
    </w:p>
    <w:p>
      <w:pPr>
        <w:spacing w:before="0" w:after="80" w:line="252" w:lineRule="auto"/>
        <w:jc w:val="both"/>
      </w:pPr>
      <w:r>
        <w:rPr>
          <w:rFonts w:ascii="Times New Roman" w:hAnsi="Times New Roman"/>
          <w:b w:val="0"/>
          <w:i w:val="0"/>
          <w:sz w:val="20"/>
        </w:rPr>
        <w:t>To address these operational challenges, this paper presents four primary contributions:</w:t>
        <w:br/>
        <w:t>1) Empirical Discovery of Day-Ahead Telemetry Superiority: Through an exhaustive 38-week rolling-origin benchmark on 637 days of real-world French bakery POS transactions, we show that single-stage HistGradientBoosting with day-ahead lag telemetry (Control 3) significantly improves pooled WAPE by +2.47 percentage points over Prophet (p = 0.0138; 95% CI [+0.49, +4.76]).</w:t>
        <w:br/>
        <w:t>2) Rigorous Evaluation of a Feature-Stacked Research Hybrid: We formulate and evaluate a Prophet + HGBR hybrid that captures complex intra-seasonal non-linearities, demonstrating superior robustness during acute summer tourist stress testing.</w:t>
        <w:br/>
        <w:t>3) Methodological Rejection of Weather Regressors via Placebo Testing: Utilizing a 200-iteration circular-shift placebo protocol, we prove that local weather regressors capture spurious seasonal collinearity rather than genuine demand sensitivity, justifying their exclusion to ensure operational robustness.</w:t>
        <w:br/>
        <w:t>4) Stochastic Inventory Optimization &amp; Full-Stack Deployment: We combine forecasts with an asymmetric Newsvendor Critical Ratio policy (CR = 0.60), achieving a simulated 64.4% reduction in physical food discard. The complete solution is realized as an operational cloud-to-mobile system validated with 51 passing automated test suites.</w:t>
      </w:r>
    </w:p>
    <w:p>
      <w:pPr>
        <w:spacing w:before="200" w:after="60" w:line="252" w:lineRule="auto"/>
        <w:jc w:val="center"/>
      </w:pPr>
      <w:r>
        <w:rPr>
          <w:rFonts w:ascii="Times New Roman" w:hAnsi="Times New Roman"/>
          <w:b/>
          <w:i w:val="0"/>
          <w:sz w:val="20"/>
        </w:rPr>
        <w:t>II.  RELATED WORK AND GAP ANALYSIS</w:t>
      </w:r>
    </w:p>
    <w:p>
      <w:pPr>
        <w:spacing w:before="0" w:after="80" w:line="252" w:lineRule="auto"/>
        <w:jc w:val="both"/>
      </w:pPr>
      <w:r>
        <w:rPr>
          <w:rFonts w:ascii="Times New Roman" w:hAnsi="Times New Roman"/>
          <w:b w:val="0"/>
          <w:i w:val="0"/>
          <w:sz w:val="20"/>
        </w:rPr>
        <w:t>Retail demand forecasting and inventory management literature has evolved across four primary domains: classical statistical time series, ensemble machine learning, stochastic inventory theory, and mobile decision-support architectures.</w:t>
      </w:r>
    </w:p>
    <w:p>
      <w:pPr>
        <w:spacing w:before="120" w:after="40" w:line="252" w:lineRule="auto"/>
        <w:jc w:val="left"/>
      </w:pPr>
      <w:r>
        <w:rPr>
          <w:rFonts w:ascii="Times New Roman" w:hAnsi="Times New Roman"/>
          <w:b/>
          <w:i/>
          <w:sz w:val="20"/>
        </w:rPr>
        <w:t>A.  Statistical and Machine Learning Forecasting in Retail SMEs</w:t>
      </w:r>
    </w:p>
    <w:p>
      <w:pPr>
        <w:spacing w:before="0" w:after="80" w:line="252" w:lineRule="auto"/>
        <w:jc w:val="both"/>
      </w:pPr>
      <w:r>
        <w:rPr>
          <w:rFonts w:ascii="Times New Roman" w:hAnsi="Times New Roman"/>
          <w:b w:val="0"/>
          <w:i w:val="0"/>
          <w:sz w:val="20"/>
        </w:rPr>
        <w:t>Early commercial inventory management relied on linear statistical methods such as Holt-Winters exponential smoothing and autoregressive integrated moving average (ARIMA) models. While linear models possess low computational complexity and high interpretability, their stationarity assumptions fail to accommodate multi-seasonal cyclicality and sudden holiday shocks prevalent in food retail. Taylor and Letham introduced Facebook Prophet as a Generalized Additive Model (GAM) decomposing time series into piecewise linear trends, Fourier seasonality, and holiday matrices. While Prophet exhibits high resilience to missing observations [9], it lacks native autoregressive feedback mechanisms.</w:t>
      </w:r>
    </w:p>
    <w:p>
      <w:pPr>
        <w:spacing w:before="0" w:after="80" w:line="252" w:lineRule="auto"/>
        <w:jc w:val="both"/>
      </w:pPr>
      <w:r>
        <w:rPr>
          <w:rFonts w:ascii="Times New Roman" w:hAnsi="Times New Roman"/>
          <w:b w:val="0"/>
          <w:i w:val="0"/>
          <w:sz w:val="20"/>
        </w:rPr>
        <w:t>Gradient boosted decision trees (GBDT) established a new accuracy frontier for tabular demand forecasting. Empirical retail benchmarks demonstrated that pooled GBDTs outperform pure statistical models across tens of thousands of series [10], [11]. In SME retail studies, Cherian et al. [8] and Gärtner et al. [2] developed automated machine learning frameworks, while Jatte et al. [12] and Susanto et al. [1] confirmed the superiority of tree ensembles over neural architectures in data-constrained retail settings. However, tree models predict constant values outside the observed feature range, motivating hybrid formulations combining parametric trend models with residual gradient boosted trees [21].</w:t>
      </w:r>
    </w:p>
    <w:p>
      <w:pPr>
        <w:spacing w:before="120" w:after="40" w:line="252" w:lineRule="auto"/>
        <w:jc w:val="left"/>
      </w:pPr>
      <w:r>
        <w:rPr>
          <w:rFonts w:ascii="Times New Roman" w:hAnsi="Times New Roman"/>
          <w:b/>
          <w:i/>
          <w:sz w:val="20"/>
        </w:rPr>
        <w:t>B.  Perishable Waste Reduction and Stochastic Inventory Control</w:t>
      </w:r>
    </w:p>
    <w:p>
      <w:pPr>
        <w:spacing w:before="0" w:after="80" w:line="252" w:lineRule="auto"/>
        <w:jc w:val="both"/>
      </w:pPr>
      <w:r>
        <w:rPr>
          <w:rFonts w:ascii="Times New Roman" w:hAnsi="Times New Roman"/>
          <w:b w:val="0"/>
          <w:i w:val="0"/>
          <w:sz w:val="20"/>
        </w:rPr>
        <w:t>A central deficiency in retail forecasting literature is the disconnection between forecast error minimization and replenishment optimization. Rahmatillah et al. [3] established that minimizing symmetric forecast error is insufficient to prevent stockouts unless coupled with dynamic safety stock buffers. Munawar and Sudirman [4] applied short-horizon models in culinary retail to curb spoilage, while Padmavathy et al. [5] and Chowdhury et al. [6] showed that waste-aware predictive constraints reduce food waste by up to 40% in food supply chains. Avuduri [7] demonstrated that automated stock auditing on ubiquitous devices eliminates manual stock-taking latency in small stockrooms.</w:t>
      </w:r>
    </w:p>
    <w:p>
      <w:pPr>
        <w:spacing w:before="120" w:after="40" w:line="252" w:lineRule="auto"/>
        <w:jc w:val="left"/>
      </w:pPr>
      <w:r>
        <w:rPr>
          <w:rFonts w:ascii="Times New Roman" w:hAnsi="Times New Roman"/>
          <w:b/>
          <w:i/>
          <w:sz w:val="20"/>
        </w:rPr>
        <w:t>C.  Mobile Decision Support and Applied AI for Retail MSMEs</w:t>
      </w:r>
    </w:p>
    <w:p>
      <w:pPr>
        <w:spacing w:before="0" w:after="80" w:line="252" w:lineRule="auto"/>
        <w:jc w:val="both"/>
      </w:pPr>
      <w:r>
        <w:rPr>
          <w:rFonts w:ascii="Times New Roman" w:hAnsi="Times New Roman"/>
          <w:b w:val="0"/>
          <w:i w:val="0"/>
          <w:sz w:val="20"/>
        </w:rPr>
        <w:t>Non-technical retail managers require operational simplicity and low cognitive friction. Janchidfah et al. [13] designed a mobile inventory application for small retailers, demonstrating that automated restock warnings drive high digital adoption. Sakuda et al. [14] explored GPT-4 for conversational retail shop oversight, while Vyakarnam et al. [15] conducted comparative evaluations of frontier LLMs in supply chains, concluding that language models perform best when decoupled from arithmetic calculations and restricted to qualitative narrative synthesis. Groene and Zakharov [16], Yuniarty et al. [17], and Aree and Ueasangkomsate [18] investigated technology adoption factors across MSMEs, finding that proven economic return and zero operational overhead are essential prerequisites for manager adoption.</w:t>
      </w:r>
    </w:p>
    <w:p>
      <w:pPr>
        <w:spacing w:before="120" w:after="40" w:line="252" w:lineRule="auto"/>
        <w:jc w:val="left"/>
      </w:pPr>
      <w:r>
        <w:rPr>
          <w:rFonts w:ascii="Times New Roman" w:hAnsi="Times New Roman"/>
          <w:b/>
          <w:i/>
          <w:sz w:val="20"/>
        </w:rPr>
        <w:t>D.  Exogenous Weather Regressors in Retail Modeling</w:t>
      </w:r>
    </w:p>
    <w:p>
      <w:pPr>
        <w:spacing w:before="0" w:after="80" w:line="252" w:lineRule="auto"/>
        <w:jc w:val="both"/>
      </w:pPr>
      <w:r>
        <w:rPr>
          <w:rFonts w:ascii="Times New Roman" w:hAnsi="Times New Roman"/>
          <w:b w:val="0"/>
          <w:i w:val="0"/>
          <w:sz w:val="20"/>
        </w:rPr>
        <w:t>The inclusion of exogenous meteorological variables (temperature, rainfall, solar radiation) is widespread in retail forecasting [19], [20]. Jain et al. [22] and Qureshi et al. [23] integrated weather indicators to forecast food choices and foot traffic. However, weather regressors exhibit strong collinearity with underlying annual macro-seasonality (e.g., warm weather coinciding with summer holiday travel). Conventional cross-validation can misattribute annual seasonality to short-term weather fluctuations unless validated through rigorous circular permutation testing.</w:t>
      </w:r>
    </w:p>
    <w:p>
      <w:pPr>
        <w:spacing w:before="200" w:after="60" w:line="252" w:lineRule="auto"/>
        <w:jc w:val="center"/>
      </w:pPr>
      <w:r>
        <w:rPr>
          <w:rFonts w:ascii="Times New Roman" w:hAnsi="Times New Roman"/>
          <w:b/>
          <w:i w:val="0"/>
          <w:sz w:val="20"/>
        </w:rPr>
        <w:t>III.  POS DATASET AUDIT AND MACRO-SEASONALITY DYNAMICS</w:t>
      </w:r>
    </w:p>
    <w:p>
      <w:pPr>
        <w:spacing w:before="0" w:after="80" w:line="252" w:lineRule="auto"/>
        <w:jc w:val="both"/>
      </w:pPr>
      <w:r>
        <w:rPr>
          <w:rFonts w:ascii="Times New Roman" w:hAnsi="Times New Roman"/>
          <w:b w:val="0"/>
          <w:i w:val="0"/>
          <w:sz w:val="20"/>
        </w:rPr>
        <w:t>The empirical foundation of this study is grounded in real-world transactional point-of-sale data collected from an independent artisan bakery in Guérande (Loire-Atlantique, France). The records encompass 637 consecutive calendar days spanning 2 January 2021 to 30 September 2022.</w:t>
      </w:r>
    </w:p>
    <w:p>
      <w:pPr>
        <w:spacing w:before="0" w:after="80" w:line="252" w:lineRule="auto"/>
        <w:jc w:val="both"/>
      </w:pPr>
      <w:r>
        <w:rPr>
          <w:rFonts w:ascii="Times New Roman" w:hAnsi="Times New Roman"/>
          <w:b w:val="0"/>
          <w:i w:val="0"/>
          <w:sz w:val="20"/>
        </w:rPr>
        <w:t>A systematic calendar audit uncovered structural operational patterns: (1) Active Trading Days vs. Closures: Of 637 calendar days, 600 were active trading days and 37 were store closure dates (95.0% operational availability). Closures followed a strict weekly schedule: 29 Wednesdays, 3 Mondays, 2 Tuesdays, 2 Thursdays, and 1 statutory holiday (New Year's Day, 1 January 2022); (2) Unbroken Summer Trading: During the peak tourist season (June through August), the bakery operated continuously with zero closures to meet elevated consumer volume; and (3) Aggregate Volume: Over 600 trading days, 329,803 total units were sold across 35 primary catalog SKUs, averaging 549.7 units per active trading day.</w:t>
      </w:r>
    </w:p>
    <w:p>
      <w:pPr>
        <w:spacing w:before="0" w:after="80" w:line="252" w:lineRule="auto"/>
        <w:jc w:val="both"/>
      </w:pPr>
      <w:r>
        <w:rPr>
          <w:rFonts w:ascii="Times New Roman" w:hAnsi="Times New Roman"/>
          <w:b w:val="0"/>
          <w:i w:val="0"/>
          <w:sz w:val="20"/>
        </w:rPr>
        <w:t>Demand is dominated by dramatic tourist-driven macro-seasonality along the French Atlantic coast. August daily sales averaged 987.7 units/day compared to a January trough of 321.8 units/day, representing a 3.07x peak surge (+206.9%). Trading during summer months (June–August, 916.4 units/day) was 2.02x higher (+101.8%) than off-peak periods (454.1 units/day), presenting an acute operational stress test for forecasting algorithms.</w:t>
      </w:r>
    </w:p>
    <w:p>
      <w:pPr>
        <w:spacing w:before="160" w:after="60" w:line="252" w:lineRule="auto"/>
        <w:jc w:val="center"/>
      </w:pPr>
      <w:r>
        <w:rPr>
          <w:rFonts w:ascii="Times New Roman" w:hAnsi="Times New Roman"/>
          <w:b/>
          <w:i w:val="0"/>
          <w:sz w:val="17"/>
        </w:rPr>
        <w:t>TABLE I: MASTER POS DATASET SUMMARY STATISTICS (GUÉRANDE BAKERY)</w:t>
      </w:r>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2592"/>
          </w:tcPr>
          <w:p>
            <w:pPr>
              <w:spacing w:before="20" w:after="20" w:line="252" w:lineRule="auto"/>
              <w:jc w:val="center"/>
            </w:pPr>
            <w:r>
              <w:rPr>
                <w:rFonts w:ascii="Times New Roman" w:hAnsi="Times New Roman"/>
                <w:b/>
                <w:i w:val="0"/>
                <w:sz w:val="16"/>
              </w:rPr>
              <w:t>Metric Description</w:t>
            </w:r>
          </w:p>
        </w:tc>
        <w:tc>
          <w:tcPr>
            <w:tcW w:type="dxa" w:w="2592"/>
          </w:tcPr>
          <w:p>
            <w:pPr>
              <w:spacing w:before="20" w:after="20" w:line="252" w:lineRule="auto"/>
              <w:jc w:val="center"/>
            </w:pPr>
            <w:r>
              <w:rPr>
                <w:rFonts w:ascii="Times New Roman" w:hAnsi="Times New Roman"/>
                <w:b/>
                <w:i w:val="0"/>
                <w:sz w:val="16"/>
              </w:rPr>
              <w:t>Audited Value</w:t>
            </w:r>
          </w:p>
        </w:tc>
        <w:tc>
          <w:tcPr>
            <w:tcW w:type="dxa" w:w="2592"/>
          </w:tcPr>
          <w:p>
            <w:pPr>
              <w:spacing w:before="20" w:after="20" w:line="252" w:lineRule="auto"/>
              <w:jc w:val="center"/>
            </w:pPr>
            <w:r>
              <w:rPr>
                <w:rFonts w:ascii="Times New Roman" w:hAnsi="Times New Roman"/>
                <w:b/>
                <w:i w:val="0"/>
                <w:sz w:val="16"/>
              </w:rPr>
              <w:t>Metric Description</w:t>
            </w:r>
          </w:p>
        </w:tc>
        <w:tc>
          <w:tcPr>
            <w:tcW w:type="dxa" w:w="2592"/>
          </w:tcPr>
          <w:p>
            <w:pPr>
              <w:spacing w:before="20" w:after="20" w:line="252" w:lineRule="auto"/>
              <w:jc w:val="center"/>
            </w:pPr>
            <w:r>
              <w:rPr>
                <w:rFonts w:ascii="Times New Roman" w:hAnsi="Times New Roman"/>
                <w:b/>
                <w:i w:val="0"/>
                <w:sz w:val="16"/>
              </w:rPr>
              <w:t>Audited Value</w:t>
            </w:r>
          </w:p>
        </w:tc>
      </w:tr>
      <w:tr>
        <w:tc>
          <w:tcPr>
            <w:tcW w:type="dxa" w:w="2592"/>
          </w:tcPr>
          <w:p>
            <w:pPr>
              <w:spacing w:before="20" w:after="20" w:line="252" w:lineRule="auto"/>
              <w:jc w:val="left"/>
            </w:pPr>
            <w:r>
              <w:rPr>
                <w:rFonts w:ascii="Times New Roman" w:hAnsi="Times New Roman"/>
                <w:b w:val="0"/>
                <w:i w:val="0"/>
                <w:sz w:val="16"/>
              </w:rPr>
              <w:t>Date Range</w:t>
            </w:r>
          </w:p>
        </w:tc>
        <w:tc>
          <w:tcPr>
            <w:tcW w:type="dxa" w:w="2592"/>
          </w:tcPr>
          <w:p>
            <w:pPr>
              <w:spacing w:before="20" w:after="20" w:line="252" w:lineRule="auto"/>
              <w:jc w:val="center"/>
            </w:pPr>
            <w:r>
              <w:rPr>
                <w:rFonts w:ascii="Times New Roman" w:hAnsi="Times New Roman"/>
                <w:b w:val="0"/>
                <w:i w:val="0"/>
                <w:sz w:val="16"/>
              </w:rPr>
              <w:t>2021-01-02 to 2022-09-30</w:t>
            </w:r>
          </w:p>
        </w:tc>
        <w:tc>
          <w:tcPr>
            <w:tcW w:type="dxa" w:w="2592"/>
          </w:tcPr>
          <w:p>
            <w:pPr>
              <w:spacing w:before="20" w:after="20" w:line="252" w:lineRule="auto"/>
              <w:jc w:val="center"/>
            </w:pPr>
            <w:r>
              <w:rPr>
                <w:rFonts w:ascii="Times New Roman" w:hAnsi="Times New Roman"/>
                <w:b w:val="0"/>
                <w:i w:val="0"/>
                <w:sz w:val="16"/>
              </w:rPr>
              <w:t>Total Calendar Days</w:t>
            </w:r>
          </w:p>
        </w:tc>
        <w:tc>
          <w:tcPr>
            <w:tcW w:type="dxa" w:w="2592"/>
          </w:tcPr>
          <w:p>
            <w:pPr>
              <w:spacing w:before="20" w:after="20" w:line="252" w:lineRule="auto"/>
              <w:jc w:val="center"/>
            </w:pPr>
            <w:r>
              <w:rPr>
                <w:rFonts w:ascii="Times New Roman" w:hAnsi="Times New Roman"/>
                <w:b w:val="0"/>
                <w:i w:val="0"/>
                <w:sz w:val="16"/>
              </w:rPr>
              <w:t>637 Days</w:t>
            </w:r>
          </w:p>
        </w:tc>
      </w:tr>
      <w:tr>
        <w:tc>
          <w:tcPr>
            <w:tcW w:type="dxa" w:w="2592"/>
          </w:tcPr>
          <w:p>
            <w:pPr>
              <w:spacing w:before="20" w:after="20" w:line="252" w:lineRule="auto"/>
              <w:jc w:val="left"/>
            </w:pPr>
            <w:r>
              <w:rPr>
                <w:rFonts w:ascii="Times New Roman" w:hAnsi="Times New Roman"/>
                <w:b w:val="0"/>
                <w:i w:val="0"/>
                <w:sz w:val="16"/>
              </w:rPr>
              <w:t>Active Trading Days</w:t>
            </w:r>
          </w:p>
        </w:tc>
        <w:tc>
          <w:tcPr>
            <w:tcW w:type="dxa" w:w="2592"/>
          </w:tcPr>
          <w:p>
            <w:pPr>
              <w:spacing w:before="20" w:after="20" w:line="252" w:lineRule="auto"/>
              <w:jc w:val="center"/>
            </w:pPr>
            <w:r>
              <w:rPr>
                <w:rFonts w:ascii="Times New Roman" w:hAnsi="Times New Roman"/>
                <w:b w:val="0"/>
                <w:i w:val="0"/>
                <w:sz w:val="16"/>
              </w:rPr>
              <w:t>600 Days (95.0%)</w:t>
            </w:r>
          </w:p>
        </w:tc>
        <w:tc>
          <w:tcPr>
            <w:tcW w:type="dxa" w:w="2592"/>
          </w:tcPr>
          <w:p>
            <w:pPr>
              <w:spacing w:before="20" w:after="20" w:line="252" w:lineRule="auto"/>
              <w:jc w:val="center"/>
            </w:pPr>
            <w:r>
              <w:rPr>
                <w:rFonts w:ascii="Times New Roman" w:hAnsi="Times New Roman"/>
                <w:b w:val="0"/>
                <w:i w:val="0"/>
                <w:sz w:val="16"/>
              </w:rPr>
              <w:t>Store Closure Dates</w:t>
            </w:r>
          </w:p>
        </w:tc>
        <w:tc>
          <w:tcPr>
            <w:tcW w:type="dxa" w:w="2592"/>
          </w:tcPr>
          <w:p>
            <w:pPr>
              <w:spacing w:before="20" w:after="20" w:line="252" w:lineRule="auto"/>
              <w:jc w:val="center"/>
            </w:pPr>
            <w:r>
              <w:rPr>
                <w:rFonts w:ascii="Times New Roman" w:hAnsi="Times New Roman"/>
                <w:b w:val="0"/>
                <w:i w:val="0"/>
                <w:sz w:val="16"/>
              </w:rPr>
              <w:t>37 Days (0 in Summer)</w:t>
            </w:r>
          </w:p>
        </w:tc>
      </w:tr>
      <w:tr>
        <w:tc>
          <w:tcPr>
            <w:tcW w:type="dxa" w:w="2592"/>
          </w:tcPr>
          <w:p>
            <w:pPr>
              <w:spacing w:before="20" w:after="20" w:line="252" w:lineRule="auto"/>
              <w:jc w:val="left"/>
            </w:pPr>
            <w:r>
              <w:rPr>
                <w:rFonts w:ascii="Times New Roman" w:hAnsi="Times New Roman"/>
                <w:b w:val="0"/>
                <w:i w:val="0"/>
                <w:sz w:val="16"/>
              </w:rPr>
              <w:t>Primary Catalog SKUs</w:t>
            </w:r>
          </w:p>
        </w:tc>
        <w:tc>
          <w:tcPr>
            <w:tcW w:type="dxa" w:w="2592"/>
          </w:tcPr>
          <w:p>
            <w:pPr>
              <w:spacing w:before="20" w:after="20" w:line="252" w:lineRule="auto"/>
              <w:jc w:val="center"/>
            </w:pPr>
            <w:r>
              <w:rPr>
                <w:rFonts w:ascii="Times New Roman" w:hAnsi="Times New Roman"/>
                <w:b w:val="0"/>
                <w:i w:val="0"/>
                <w:sz w:val="16"/>
              </w:rPr>
              <w:t>35 SKUs</w:t>
            </w:r>
          </w:p>
        </w:tc>
        <w:tc>
          <w:tcPr>
            <w:tcW w:type="dxa" w:w="2592"/>
          </w:tcPr>
          <w:p>
            <w:pPr>
              <w:spacing w:before="20" w:after="20" w:line="252" w:lineRule="auto"/>
              <w:jc w:val="center"/>
            </w:pPr>
            <w:r>
              <w:rPr>
                <w:rFonts w:ascii="Times New Roman" w:hAnsi="Times New Roman"/>
                <w:b w:val="0"/>
                <w:i w:val="0"/>
                <w:sz w:val="16"/>
              </w:rPr>
              <w:t>Total Units Sold</w:t>
            </w:r>
          </w:p>
        </w:tc>
        <w:tc>
          <w:tcPr>
            <w:tcW w:type="dxa" w:w="2592"/>
          </w:tcPr>
          <w:p>
            <w:pPr>
              <w:spacing w:before="20" w:after="20" w:line="252" w:lineRule="auto"/>
              <w:jc w:val="center"/>
            </w:pPr>
            <w:r>
              <w:rPr>
                <w:rFonts w:ascii="Times New Roman" w:hAnsi="Times New Roman"/>
                <w:b w:val="0"/>
                <w:i w:val="0"/>
                <w:sz w:val="16"/>
              </w:rPr>
              <w:t>329,803 Units</w:t>
            </w:r>
          </w:p>
        </w:tc>
      </w:tr>
      <w:tr>
        <w:tc>
          <w:tcPr>
            <w:tcW w:type="dxa" w:w="2592"/>
          </w:tcPr>
          <w:p>
            <w:pPr>
              <w:spacing w:before="20" w:after="20" w:line="252" w:lineRule="auto"/>
              <w:jc w:val="left"/>
            </w:pPr>
            <w:r>
              <w:rPr>
                <w:rFonts w:ascii="Times New Roman" w:hAnsi="Times New Roman"/>
                <w:b w:val="0"/>
                <w:i w:val="0"/>
                <w:sz w:val="16"/>
              </w:rPr>
              <w:t>August Daily Mean</w:t>
            </w:r>
          </w:p>
        </w:tc>
        <w:tc>
          <w:tcPr>
            <w:tcW w:type="dxa" w:w="2592"/>
          </w:tcPr>
          <w:p>
            <w:pPr>
              <w:spacing w:before="20" w:after="20" w:line="252" w:lineRule="auto"/>
              <w:jc w:val="center"/>
            </w:pPr>
            <w:r>
              <w:rPr>
                <w:rFonts w:ascii="Times New Roman" w:hAnsi="Times New Roman"/>
                <w:b w:val="0"/>
                <w:i w:val="0"/>
                <w:sz w:val="16"/>
              </w:rPr>
              <w:t>987.7 Units/Day</w:t>
            </w:r>
          </w:p>
        </w:tc>
        <w:tc>
          <w:tcPr>
            <w:tcW w:type="dxa" w:w="2592"/>
          </w:tcPr>
          <w:p>
            <w:pPr>
              <w:spacing w:before="20" w:after="20" w:line="252" w:lineRule="auto"/>
              <w:jc w:val="center"/>
            </w:pPr>
            <w:r>
              <w:rPr>
                <w:rFonts w:ascii="Times New Roman" w:hAnsi="Times New Roman"/>
                <w:b w:val="0"/>
                <w:i w:val="0"/>
                <w:sz w:val="16"/>
              </w:rPr>
              <w:t>January Daily Mean</w:t>
            </w:r>
          </w:p>
        </w:tc>
        <w:tc>
          <w:tcPr>
            <w:tcW w:type="dxa" w:w="2592"/>
          </w:tcPr>
          <w:p>
            <w:pPr>
              <w:spacing w:before="20" w:after="20" w:line="252" w:lineRule="auto"/>
              <w:jc w:val="center"/>
            </w:pPr>
            <w:r>
              <w:rPr>
                <w:rFonts w:ascii="Times New Roman" w:hAnsi="Times New Roman"/>
                <w:b w:val="0"/>
                <w:i w:val="0"/>
                <w:sz w:val="16"/>
              </w:rPr>
              <w:t>321.8 Units/Day</w:t>
            </w:r>
          </w:p>
        </w:tc>
      </w:tr>
      <w:tr>
        <w:tc>
          <w:tcPr>
            <w:tcW w:type="dxa" w:w="2592"/>
          </w:tcPr>
          <w:p>
            <w:pPr>
              <w:spacing w:before="20" w:after="20" w:line="252" w:lineRule="auto"/>
              <w:jc w:val="left"/>
            </w:pPr>
            <w:r>
              <w:rPr>
                <w:rFonts w:ascii="Times New Roman" w:hAnsi="Times New Roman"/>
                <w:b w:val="0"/>
                <w:i w:val="0"/>
                <w:sz w:val="16"/>
              </w:rPr>
              <w:t>Summer Mean (Jun-Aug)</w:t>
            </w:r>
          </w:p>
        </w:tc>
        <w:tc>
          <w:tcPr>
            <w:tcW w:type="dxa" w:w="2592"/>
          </w:tcPr>
          <w:p>
            <w:pPr>
              <w:spacing w:before="20" w:after="20" w:line="252" w:lineRule="auto"/>
              <w:jc w:val="center"/>
            </w:pPr>
            <w:r>
              <w:rPr>
                <w:rFonts w:ascii="Times New Roman" w:hAnsi="Times New Roman"/>
                <w:b w:val="0"/>
                <w:i w:val="0"/>
                <w:sz w:val="16"/>
              </w:rPr>
              <w:t>916.4 Units/Day</w:t>
            </w:r>
          </w:p>
        </w:tc>
        <w:tc>
          <w:tcPr>
            <w:tcW w:type="dxa" w:w="2592"/>
          </w:tcPr>
          <w:p>
            <w:pPr>
              <w:spacing w:before="20" w:after="20" w:line="252" w:lineRule="auto"/>
              <w:jc w:val="center"/>
            </w:pPr>
            <w:r>
              <w:rPr>
                <w:rFonts w:ascii="Times New Roman" w:hAnsi="Times New Roman"/>
                <w:b w:val="0"/>
                <w:i w:val="0"/>
                <w:sz w:val="16"/>
              </w:rPr>
              <w:t>Non-Summer Mean</w:t>
            </w:r>
          </w:p>
        </w:tc>
        <w:tc>
          <w:tcPr>
            <w:tcW w:type="dxa" w:w="2592"/>
          </w:tcPr>
          <w:p>
            <w:pPr>
              <w:spacing w:before="20" w:after="20" w:line="252" w:lineRule="auto"/>
              <w:jc w:val="center"/>
            </w:pPr>
            <w:r>
              <w:rPr>
                <w:rFonts w:ascii="Times New Roman" w:hAnsi="Times New Roman"/>
                <w:b w:val="0"/>
                <w:i w:val="0"/>
                <w:sz w:val="16"/>
              </w:rPr>
              <w:t>454.1 Units/Day</w:t>
            </w:r>
          </w:p>
        </w:tc>
      </w:tr>
      <w:tr>
        <w:tc>
          <w:tcPr>
            <w:tcW w:type="dxa" w:w="2592"/>
          </w:tcPr>
          <w:p>
            <w:pPr>
              <w:spacing w:before="20" w:after="20" w:line="252" w:lineRule="auto"/>
              <w:jc w:val="left"/>
            </w:pPr>
            <w:r>
              <w:rPr>
                <w:rFonts w:ascii="Times New Roman" w:hAnsi="Times New Roman"/>
                <w:b w:val="0"/>
                <w:i w:val="0"/>
                <w:sz w:val="16"/>
              </w:rPr>
              <w:t>Peak Surge (Aug/Jan)</w:t>
            </w:r>
          </w:p>
        </w:tc>
        <w:tc>
          <w:tcPr>
            <w:tcW w:type="dxa" w:w="2592"/>
          </w:tcPr>
          <w:p>
            <w:pPr>
              <w:spacing w:before="20" w:after="20" w:line="252" w:lineRule="auto"/>
              <w:jc w:val="center"/>
            </w:pPr>
            <w:r>
              <w:rPr>
                <w:rFonts w:ascii="Times New Roman" w:hAnsi="Times New Roman"/>
                <w:b w:val="0"/>
                <w:i w:val="0"/>
                <w:sz w:val="16"/>
              </w:rPr>
              <w:t>3.07x (+206.9%)</w:t>
            </w:r>
          </w:p>
        </w:tc>
        <w:tc>
          <w:tcPr>
            <w:tcW w:type="dxa" w:w="2592"/>
          </w:tcPr>
          <w:p>
            <w:pPr>
              <w:spacing w:before="20" w:after="20" w:line="252" w:lineRule="auto"/>
              <w:jc w:val="center"/>
            </w:pPr>
            <w:r>
              <w:rPr>
                <w:rFonts w:ascii="Times New Roman" w:hAnsi="Times New Roman"/>
                <w:b w:val="0"/>
                <w:i w:val="0"/>
                <w:sz w:val="16"/>
              </w:rPr>
              <w:t>Seasonal Surge</w:t>
            </w:r>
          </w:p>
        </w:tc>
        <w:tc>
          <w:tcPr>
            <w:tcW w:type="dxa" w:w="2592"/>
          </w:tcPr>
          <w:p>
            <w:pPr>
              <w:spacing w:before="20" w:after="20" w:line="252" w:lineRule="auto"/>
              <w:jc w:val="center"/>
            </w:pPr>
            <w:r>
              <w:rPr>
                <w:rFonts w:ascii="Times New Roman" w:hAnsi="Times New Roman"/>
                <w:b w:val="0"/>
                <w:i w:val="0"/>
                <w:sz w:val="16"/>
              </w:rPr>
              <w:t>2.02x (+101.8%)</w:t>
            </w:r>
          </w:p>
        </w:tc>
      </w:tr>
    </w:tbl>
    <w:p>
      <w:pPr>
        <w:spacing w:before="0" w:after="80" w:line="252" w:lineRule="auto"/>
        <w:jc w:val="left"/>
      </w:pPr>
    </w:p>
    <w:p>
      <w:pPr>
        <w:spacing w:before="200" w:after="60" w:line="252" w:lineRule="auto"/>
        <w:jc w:val="center"/>
      </w:pPr>
      <w:r>
        <w:rPr>
          <w:rFonts w:ascii="Times New Roman" w:hAnsi="Times New Roman"/>
          <w:b/>
          <w:i w:val="0"/>
          <w:sz w:val="20"/>
        </w:rPr>
        <w:t>IV.  METHODOLOGY AND SYSTEM ARCHITECTURE</w:t>
      </w:r>
    </w:p>
    <w:p>
      <w:pPr>
        <w:spacing w:before="120" w:after="40" w:line="252" w:lineRule="auto"/>
        <w:jc w:val="left"/>
      </w:pPr>
      <w:r>
        <w:rPr>
          <w:rFonts w:ascii="Times New Roman" w:hAnsi="Times New Roman"/>
          <w:b/>
          <w:i/>
          <w:sz w:val="20"/>
        </w:rPr>
        <w:t>A.  System Architecture &amp; Execution Decoupling</w:t>
      </w:r>
    </w:p>
    <w:p>
      <w:pPr>
        <w:spacing w:before="0" w:after="80" w:line="252" w:lineRule="auto"/>
        <w:jc w:val="both"/>
      </w:pPr>
      <w:r>
        <w:rPr>
          <w:rFonts w:ascii="Times New Roman" w:hAnsi="Times New Roman"/>
          <w:b w:val="0"/>
          <w:i w:val="0"/>
          <w:sz w:val="20"/>
        </w:rPr>
        <w:t>The platform is architected as a decoupled, multi-tiered cloud-to-mobile system separating scheduled cloud batch processing from responsive client decision-support. As illustrated in the operational design, execution spans four tiers: (1) Scheduled Cloud Automation (GitHub Actions cron runner executing nightly at 02:00 UTC); (2) Microservice API Tier (containerized FastAPI backend deployed on Render Linux containers); (3) Persistence Tier (MongoDB Atlas M0 replica set with TLS 1.3 encryption hosted on AWS ap-south-1 Mumbai); and (4) Mobile Presentation Tier (cross-platform Flutter client with local resilient state fallbacks).</w:t>
      </w:r>
    </w:p>
    <w:p>
      <w:pPr>
        <w:spacing w:before="120" w:after="40" w:line="252" w:lineRule="auto"/>
        <w:jc w:val="left"/>
      </w:pPr>
      <w:r>
        <w:rPr>
          <w:rFonts w:ascii="Times New Roman" w:hAnsi="Times New Roman"/>
          <w:b/>
          <w:i/>
          <w:sz w:val="20"/>
        </w:rPr>
        <w:t>B.  Forecasting Engine Formulations</w:t>
      </w:r>
    </w:p>
    <w:p>
      <w:pPr>
        <w:spacing w:before="0" w:after="80" w:line="252" w:lineRule="auto"/>
        <w:jc w:val="both"/>
      </w:pPr>
      <w:r>
        <w:rPr>
          <w:rFonts w:ascii="Times New Roman" w:hAnsi="Times New Roman"/>
          <w:b w:val="0"/>
          <w:i w:val="0"/>
          <w:sz w:val="20"/>
        </w:rPr>
        <w:t>To maintain engineering reproducibility, a clear distinction is maintained between the lightweight deployed production engine and offline research benchmark architectures.</w:t>
      </w:r>
    </w:p>
    <w:p>
      <w:pPr>
        <w:spacing w:before="0" w:after="80" w:line="252" w:lineRule="auto"/>
        <w:jc w:val="both"/>
      </w:pPr>
      <w:r>
        <w:rPr>
          <w:rFonts w:ascii="Times New Roman" w:hAnsi="Times New Roman"/>
          <w:b w:val="0"/>
          <w:i w:val="0"/>
          <w:sz w:val="20"/>
        </w:rPr>
        <w:t>1) Deployed Production Engine: For production execution, the system employs a two-tier strategy. For primary items, expected point demand is computed using a 30-day historical rolling window adjusted by a day-of-week (DOW) seasonality multiplier:</w:t>
      </w:r>
    </w:p>
    <w:p>
      <w:pPr>
        <w:spacing w:before="40" w:after="40" w:line="252" w:lineRule="auto"/>
        <w:jc w:val="left"/>
      </w:pPr>
      <w:r>
        <w:rPr>
          <w:rFonts w:ascii="Times New Roman" w:hAnsi="Times New Roman"/>
          <w:b w:val="0"/>
          <w:i/>
          <w:sz w:val="19"/>
        </w:rPr>
        <w:t xml:space="preserve">    Base(i, t) = (1 / 30) * Sum_{k=1}^{30} y(i, t-k)</w:t>
      </w:r>
      <w:r>
        <w:rPr>
          <w:rFonts w:ascii="Times New Roman" w:hAnsi="Times New Roman"/>
          <w:b w:val="0"/>
          <w:i/>
          <w:sz w:val="19"/>
        </w:rPr>
        <w:tab/>
        <w:tab/>
        <w:t>(1)</w:t>
      </w:r>
    </w:p>
    <w:p>
      <w:pPr>
        <w:spacing w:before="40" w:after="40" w:line="252" w:lineRule="auto"/>
        <w:jc w:val="left"/>
      </w:pPr>
      <w:r>
        <w:rPr>
          <w:rFonts w:ascii="Times New Roman" w:hAnsi="Times New Roman"/>
          <w:b w:val="0"/>
          <w:i/>
          <w:sz w:val="19"/>
        </w:rPr>
        <w:t xml:space="preserve">    rho(i, d) = Mean_DOW(i, d) / Mean(i)</w:t>
      </w:r>
      <w:r>
        <w:rPr>
          <w:rFonts w:ascii="Times New Roman" w:hAnsi="Times New Roman"/>
          <w:b w:val="0"/>
          <w:i/>
          <w:sz w:val="19"/>
        </w:rPr>
        <w:tab/>
        <w:tab/>
        <w:t>(2)</w:t>
      </w:r>
    </w:p>
    <w:p>
      <w:pPr>
        <w:spacing w:before="40" w:after="40" w:line="252" w:lineRule="auto"/>
        <w:jc w:val="left"/>
      </w:pPr>
      <w:r>
        <w:rPr>
          <w:rFonts w:ascii="Times New Roman" w:hAnsi="Times New Roman"/>
          <w:b w:val="0"/>
          <w:i/>
          <w:sz w:val="19"/>
        </w:rPr>
        <w:t xml:space="preserve">    y_hat_{deployed}(i, t) = max(5, round(Base(i, t) * rho(i, d)))</w:t>
      </w:r>
      <w:r>
        <w:rPr>
          <w:rFonts w:ascii="Times New Roman" w:hAnsi="Times New Roman"/>
          <w:b w:val="0"/>
          <w:i/>
          <w:sz w:val="19"/>
        </w:rPr>
        <w:tab/>
        <w:tab/>
        <w:t>(3)</w:t>
      </w:r>
    </w:p>
    <w:p>
      <w:pPr>
        <w:spacing w:before="0" w:after="80" w:line="252" w:lineRule="auto"/>
        <w:jc w:val="both"/>
      </w:pPr>
      <w:r>
        <w:rPr>
          <w:rFonts w:ascii="Times New Roman" w:hAnsi="Times New Roman"/>
          <w:b w:val="0"/>
          <w:i w:val="0"/>
          <w:sz w:val="20"/>
        </w:rPr>
        <w:t>Production safety stock is governed by a 95% cycle service level rule: SS_{deployed}(i, t) = max(2, round(1.65 * sigma_{30})). For sparse SKUs or items with fewer than 14 observations (n &lt; 14), the engine executes Teunter-Syntetos-Babai (TSB) intermittent estimation with credibility shrinkage toward the catalog category 90th-percentile prior:</w:t>
      </w:r>
    </w:p>
    <w:p>
      <w:pPr>
        <w:spacing w:before="40" w:after="40" w:line="252" w:lineRule="auto"/>
        <w:jc w:val="left"/>
      </w:pPr>
      <w:r>
        <w:rPr>
          <w:rFonts w:ascii="Times New Roman" w:hAnsi="Times New Roman"/>
          <w:b w:val="0"/>
          <w:i/>
          <w:sz w:val="19"/>
        </w:rPr>
        <w:t xml:space="preserve">    W = n / (n + 14)</w:t>
      </w:r>
      <w:r>
        <w:rPr>
          <w:rFonts w:ascii="Times New Roman" w:hAnsi="Times New Roman"/>
          <w:b w:val="0"/>
          <w:i/>
          <w:sz w:val="19"/>
        </w:rPr>
        <w:tab/>
        <w:tab/>
        <w:t>(4)</w:t>
      </w:r>
    </w:p>
    <w:p>
      <w:pPr>
        <w:spacing w:before="40" w:after="40" w:line="252" w:lineRule="auto"/>
        <w:jc w:val="left"/>
      </w:pPr>
      <w:r>
        <w:rPr>
          <w:rFonts w:ascii="Times New Roman" w:hAnsi="Times New Roman"/>
          <w:b w:val="0"/>
          <w:i/>
          <w:sz w:val="19"/>
        </w:rPr>
        <w:t xml:space="preserve">    y_hat_{sparse} = max(1, round(W * y_hat_{TSB} + (1 - W) * Category_P90))</w:t>
      </w:r>
      <w:r>
        <w:rPr>
          <w:rFonts w:ascii="Times New Roman" w:hAnsi="Times New Roman"/>
          <w:b w:val="0"/>
          <w:i/>
          <w:sz w:val="19"/>
        </w:rPr>
        <w:tab/>
        <w:tab/>
        <w:t>(5)</w:t>
      </w:r>
    </w:p>
    <w:p>
      <w:pPr>
        <w:spacing w:before="0" w:after="80" w:line="252" w:lineRule="auto"/>
        <w:jc w:val="both"/>
      </w:pPr>
      <w:r>
        <w:rPr>
          <w:rFonts w:ascii="Times New Roman" w:hAnsi="Times New Roman"/>
          <w:b w:val="0"/>
          <w:i w:val="0"/>
          <w:sz w:val="20"/>
        </w:rPr>
        <w:t>When n = 0 (pure cold start), W = 0, ensuring robust default initialization without algorithmic failure.</w:t>
      </w:r>
    </w:p>
    <w:p>
      <w:pPr>
        <w:spacing w:before="0" w:after="80" w:line="252" w:lineRule="auto"/>
        <w:jc w:val="both"/>
      </w:pPr>
      <w:r>
        <w:rPr>
          <w:rFonts w:ascii="Times New Roman" w:hAnsi="Times New Roman"/>
          <w:b w:val="0"/>
          <w:i w:val="0"/>
          <w:sz w:val="20"/>
        </w:rPr>
        <w:t>2) Feature-Stacked Research Hybrid (Prophet + HGBR): In offline benchmarking, Stage 1 fits Bayesian Prophet independently per SKU with multiplicative seasonality, French statutory holidays, and binary tourist season flags. Stage 2 extracts Prophet component estimates (trend, weekly, yearly, holidays, y_hat) and concatenates them with continuous autoregressive lags (y_{t-1}, y_{t-7}, y_{t-14}), rolling statistics, and SKU categorical encodings into a pooled HistGradientBoostingRegressor fitting sales volume y(i, t) directly.</w:t>
      </w:r>
    </w:p>
    <w:p>
      <w:pPr>
        <w:spacing w:before="0" w:after="80" w:line="252" w:lineRule="auto"/>
        <w:jc w:val="both"/>
      </w:pPr>
      <w:r>
        <w:rPr>
          <w:rFonts w:ascii="Times New Roman" w:hAnsi="Times New Roman"/>
          <w:b w:val="0"/>
          <w:i w:val="0"/>
          <w:sz w:val="20"/>
        </w:rPr>
        <w:t>3) Day-Ahead Telemetry Engine (Control 3): Combines 1-day lag telemetry y(t-1) with single-stage HGBR, capturing short-term sales autocorrelation without multi-stage decomposition overhead.</w:t>
      </w:r>
    </w:p>
    <w:p>
      <w:pPr>
        <w:spacing w:before="120" w:after="40" w:line="252" w:lineRule="auto"/>
        <w:jc w:val="left"/>
      </w:pPr>
      <w:r>
        <w:rPr>
          <w:rFonts w:ascii="Times New Roman" w:hAnsi="Times New Roman"/>
          <w:b/>
          <w:i/>
          <w:sz w:val="20"/>
        </w:rPr>
        <w:t>C.  Stochastic Inventory Optimization: Asymmetric Newsvendor Model</w:t>
      </w:r>
    </w:p>
    <w:p>
      <w:pPr>
        <w:spacing w:before="0" w:after="80" w:line="252" w:lineRule="auto"/>
        <w:jc w:val="both"/>
      </w:pPr>
      <w:r>
        <w:rPr>
          <w:rFonts w:ascii="Times New Roman" w:hAnsi="Times New Roman"/>
          <w:b w:val="0"/>
          <w:i w:val="0"/>
          <w:sz w:val="20"/>
        </w:rPr>
        <w:t>In fresh bakery operations, items baked in the morning expire by evening store closing, preventing multi-period inventory carryover. The store manager must commit to an order quantity Q*(i, t) prior to daily demand realization. Under single-period stochastic inventory theory, let p_i denote selling price, c_i denote production cost of goods sold (COGS), and s_i = 0 denote salvage value. Underage cost is c_u = p_i - c_i (unrealized gross margin) and overage cost is c_o = c_i (discarded production cost). The expected profit is maximized at the Critical Ratio (CR):</w:t>
      </w:r>
    </w:p>
    <w:p>
      <w:pPr>
        <w:spacing w:before="40" w:after="40" w:line="252" w:lineRule="auto"/>
        <w:jc w:val="left"/>
      </w:pPr>
      <w:r>
        <w:rPr>
          <w:rFonts w:ascii="Times New Roman" w:hAnsi="Times New Roman"/>
          <w:b w:val="0"/>
          <w:i/>
          <w:sz w:val="19"/>
        </w:rPr>
        <w:t xml:space="preserve">    CR_i = c_u / (c_u + c_o) = (p_i - c_i) / p_i = 1 - (c_i / p_i)</w:t>
      </w:r>
      <w:r>
        <w:rPr>
          <w:rFonts w:ascii="Times New Roman" w:hAnsi="Times New Roman"/>
          <w:b w:val="0"/>
          <w:i/>
          <w:sz w:val="19"/>
        </w:rPr>
        <w:tab/>
        <w:tab/>
        <w:t>(6)</w:t>
      </w:r>
    </w:p>
    <w:p>
      <w:pPr>
        <w:spacing w:before="0" w:after="80" w:line="252" w:lineRule="auto"/>
        <w:jc w:val="both"/>
      </w:pPr>
      <w:r>
        <w:rPr>
          <w:rFonts w:ascii="Times New Roman" w:hAnsi="Times New Roman"/>
          <w:b w:val="0"/>
          <w:i w:val="0"/>
          <w:sz w:val="20"/>
        </w:rPr>
        <w:t>For typical artisan food retail with 40% COGS, CR = 1 - 0.40 = 0.60. The optimal standard normal fractile is z* = Phi^{-1}(0.60) = +0.2533. The recommended production quantity is:</w:t>
      </w:r>
    </w:p>
    <w:p>
      <w:pPr>
        <w:spacing w:before="40" w:after="40" w:line="252" w:lineRule="auto"/>
        <w:jc w:val="left"/>
      </w:pPr>
      <w:r>
        <w:rPr>
          <w:rFonts w:ascii="Times New Roman" w:hAnsi="Times New Roman"/>
          <w:b w:val="0"/>
          <w:i/>
          <w:sz w:val="19"/>
        </w:rPr>
        <w:t xml:space="preserve">    Q^*(i, t) = max(0, round(y_hat(i, t) + 0.2533 * sigma(i, t)))</w:t>
      </w:r>
      <w:r>
        <w:rPr>
          <w:rFonts w:ascii="Times New Roman" w:hAnsi="Times New Roman"/>
          <w:b w:val="0"/>
          <w:i/>
          <w:sz w:val="19"/>
        </w:rPr>
        <w:tab/>
        <w:tab/>
        <w:t>(7)</w:t>
      </w:r>
    </w:p>
    <w:p>
      <w:pPr>
        <w:spacing w:before="0" w:after="80" w:line="252" w:lineRule="auto"/>
        <w:jc w:val="both"/>
      </w:pPr>
      <w:r>
        <w:rPr>
          <w:rFonts w:ascii="Times New Roman" w:hAnsi="Times New Roman"/>
          <w:b w:val="0"/>
          <w:i w:val="0"/>
          <w:sz w:val="20"/>
        </w:rPr>
        <w:t>The mobile client calculates daily bake replenishment accounting for morning on-hand inventory: Restock_Qty = max(0, Q*(i, t) - I_{i, t-1}).</w:t>
      </w:r>
    </w:p>
    <w:p>
      <w:pPr>
        <w:spacing w:before="120" w:after="40" w:line="252" w:lineRule="auto"/>
        <w:jc w:val="left"/>
      </w:pPr>
      <w:r>
        <w:rPr>
          <w:rFonts w:ascii="Times New Roman" w:hAnsi="Times New Roman"/>
          <w:b/>
          <w:i/>
          <w:sz w:val="20"/>
        </w:rPr>
        <w:t>D.  Intraday Waste Mitigation Engine</w:t>
      </w:r>
    </w:p>
    <w:p>
      <w:pPr>
        <w:spacing w:before="0" w:after="80" w:line="252" w:lineRule="auto"/>
        <w:jc w:val="both"/>
      </w:pPr>
      <w:r>
        <w:rPr>
          <w:rFonts w:ascii="Times New Roman" w:hAnsi="Times New Roman"/>
          <w:b w:val="0"/>
          <w:i w:val="0"/>
          <w:sz w:val="20"/>
        </w:rPr>
        <w:t>To clear perishable inventory before spoilage, the backend executes an intraday pace evaluation at check-in time tau (15:00). The engine compares realized sales S(i, tau) against expected sales E(i, tau) to compute the sales pace ratio Pace_i = S(i, tau) / E(i, tau). Decision tiers are enforced deterministically: (1) Normal Pace (Pace &gt;= 0.70): No intervention; (2) Low Pace (0.35 &lt;= Pace &lt; 0.70): Triggers automated 20% markdown discount; and (3) Critical Expiry (Pace &lt; 0.35): Recommends 30% markdown or flags item for evening charity donation.</w:t>
      </w:r>
    </w:p>
    <w:p>
      <w:pPr>
        <w:spacing w:before="120" w:after="40" w:line="252" w:lineRule="auto"/>
        <w:jc w:val="left"/>
      </w:pPr>
      <w:r>
        <w:rPr>
          <w:rFonts w:ascii="Times New Roman" w:hAnsi="Times New Roman"/>
          <w:b/>
          <w:i/>
          <w:sz w:val="20"/>
        </w:rPr>
        <w:t>E.  Zero-Math Grounded Generative AI Briefing</w:t>
      </w:r>
    </w:p>
    <w:p>
      <w:pPr>
        <w:spacing w:before="0" w:after="80" w:line="252" w:lineRule="auto"/>
        <w:jc w:val="both"/>
      </w:pPr>
      <w:r>
        <w:rPr>
          <w:rFonts w:ascii="Times New Roman" w:hAnsi="Times New Roman"/>
          <w:b w:val="0"/>
          <w:i w:val="0"/>
          <w:sz w:val="20"/>
        </w:rPr>
        <w:t>To bridge the cognitive barrier for non-technical retail managers, the platform integrates Google Gemini (gemini-3-flash-preview) for natural-language operational briefings. Under strict zero-math prompt constraints [14], [15], all metrics (stockout risks, waste quantities, recommended bake quantities) are computed deterministically in FastAPI and injected as structured JSON grounding context. The LLM is restricted to qualitative narrative synthesis, eliminating arithmetic hallucinations. A client-side heuristic engine in Flutter provides seamless offline fallback when cloud connectivity is unavailable.</w:t>
      </w:r>
    </w:p>
    <w:p>
      <w:pPr>
        <w:spacing w:before="200" w:after="60" w:line="252" w:lineRule="auto"/>
        <w:jc w:val="center"/>
      </w:pPr>
      <w:r>
        <w:rPr>
          <w:rFonts w:ascii="Times New Roman" w:hAnsi="Times New Roman"/>
          <w:b/>
          <w:i w:val="0"/>
          <w:sz w:val="20"/>
        </w:rPr>
        <w:t>V.  EXPERIMENTAL RESULTS AND ANALYSIS</w:t>
      </w:r>
    </w:p>
    <w:p>
      <w:pPr>
        <w:spacing w:before="120" w:after="40" w:line="252" w:lineRule="auto"/>
        <w:jc w:val="left"/>
      </w:pPr>
      <w:r>
        <w:rPr>
          <w:rFonts w:ascii="Times New Roman" w:hAnsi="Times New Roman"/>
          <w:b/>
          <w:i/>
          <w:sz w:val="20"/>
        </w:rPr>
        <w:t>A.  Master 38-Fold Expanding-Window Benchmark</w:t>
      </w:r>
    </w:p>
    <w:p>
      <w:pPr>
        <w:spacing w:before="0" w:after="80" w:line="252" w:lineRule="auto"/>
        <w:jc w:val="both"/>
      </w:pPr>
      <w:r>
        <w:rPr>
          <w:rFonts w:ascii="Times New Roman" w:hAnsi="Times New Roman"/>
          <w:b w:val="0"/>
          <w:i w:val="0"/>
          <w:sz w:val="20"/>
        </w:rPr>
        <w:t>Models were evaluated across 38 weekly expanding-window rolling origins (2 January 2022 to 23 September 2022). For each fold, models were trained strictly on data prior to cutoff date T_cutoff and evaluated out-of-sample over a 7-day horizon. The primary accuracy metric is Weighted Absolute Percentage Error: WAPE = [Sum |y - y_hat| / Sum y] * 100%. Statistical significance was assessed using paired whole-week cluster bootstrap (38 cluster blocks, B = 2,000 resamples) generating empirical 95% confidence intervals, alongside an exact two-sided binomial sign test on fold wins.</w:t>
      </w:r>
    </w:p>
    <w:p>
      <w:pPr>
        <w:spacing w:before="160" w:after="60" w:line="252" w:lineRule="auto"/>
        <w:jc w:val="center"/>
      </w:pPr>
      <w:r>
        <w:rPr>
          <w:rFonts w:ascii="Times New Roman" w:hAnsi="Times New Roman"/>
          <w:b/>
          <w:i w:val="0"/>
          <w:sz w:val="17"/>
        </w:rPr>
        <w:t>TABLE II: MASTER 38-FOLD ACCURACY BENCHMARK ACROSS WEEKLY ROLLING ORIGINS</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tblGrid>
      <w:tr>
        <w:tc>
          <w:tcPr>
            <w:tcW w:type="dxa" w:w="1296"/>
          </w:tcPr>
          <w:p>
            <w:pPr>
              <w:spacing w:before="20" w:after="20" w:line="252" w:lineRule="auto"/>
              <w:jc w:val="center"/>
            </w:pPr>
            <w:r>
              <w:rPr>
                <w:rFonts w:ascii="Times New Roman" w:hAnsi="Times New Roman"/>
                <w:b/>
                <w:i w:val="0"/>
                <w:sz w:val="16"/>
              </w:rPr>
              <w:t>Architecture / Variant</w:t>
            </w:r>
          </w:p>
        </w:tc>
        <w:tc>
          <w:tcPr>
            <w:tcW w:type="dxa" w:w="1296"/>
          </w:tcPr>
          <w:p>
            <w:pPr>
              <w:spacing w:before="20" w:after="20" w:line="252" w:lineRule="auto"/>
              <w:jc w:val="center"/>
            </w:pPr>
            <w:r>
              <w:rPr>
                <w:rFonts w:ascii="Times New Roman" w:hAnsi="Times New Roman"/>
                <w:b/>
                <w:i w:val="0"/>
                <w:sz w:val="16"/>
              </w:rPr>
              <w:t>Pooled WAPE (%)</w:t>
            </w:r>
          </w:p>
        </w:tc>
        <w:tc>
          <w:tcPr>
            <w:tcW w:type="dxa" w:w="1296"/>
          </w:tcPr>
          <w:p>
            <w:pPr>
              <w:spacing w:before="20" w:after="20" w:line="252" w:lineRule="auto"/>
              <w:jc w:val="center"/>
            </w:pPr>
            <w:r>
              <w:rPr>
                <w:rFonts w:ascii="Times New Roman" w:hAnsi="Times New Roman"/>
                <w:b/>
                <w:i w:val="0"/>
                <w:sz w:val="16"/>
              </w:rPr>
              <w:t>Fold Wins</w:t>
            </w:r>
          </w:p>
        </w:tc>
        <w:tc>
          <w:tcPr>
            <w:tcW w:type="dxa" w:w="1296"/>
          </w:tcPr>
          <w:p>
            <w:pPr>
              <w:spacing w:before="20" w:after="20" w:line="252" w:lineRule="auto"/>
              <w:jc w:val="center"/>
            </w:pPr>
            <w:r>
              <w:rPr>
                <w:rFonts w:ascii="Times New Roman" w:hAnsi="Times New Roman"/>
                <w:b/>
                <w:i w:val="0"/>
                <w:sz w:val="16"/>
              </w:rPr>
              <w:t>Win Rate (%)</w:t>
            </w:r>
          </w:p>
        </w:tc>
        <w:tc>
          <w:tcPr>
            <w:tcW w:type="dxa" w:w="1296"/>
          </w:tcPr>
          <w:p>
            <w:pPr>
              <w:spacing w:before="20" w:after="20" w:line="252" w:lineRule="auto"/>
              <w:jc w:val="center"/>
            </w:pPr>
            <w:r>
              <w:rPr>
                <w:rFonts w:ascii="Times New Roman" w:hAnsi="Times New Roman"/>
                <w:b/>
                <w:i w:val="0"/>
                <w:sz w:val="16"/>
              </w:rPr>
              <w:t>Gain (pp)</w:t>
            </w:r>
          </w:p>
        </w:tc>
        <w:tc>
          <w:tcPr>
            <w:tcW w:type="dxa" w:w="1296"/>
          </w:tcPr>
          <w:p>
            <w:pPr>
              <w:spacing w:before="20" w:after="20" w:line="252" w:lineRule="auto"/>
              <w:jc w:val="center"/>
            </w:pPr>
            <w:r>
              <w:rPr>
                <w:rFonts w:ascii="Times New Roman" w:hAnsi="Times New Roman"/>
                <w:b/>
                <w:i w:val="0"/>
                <w:sz w:val="16"/>
              </w:rPr>
              <w:t>95% Bootstrap CI</w:t>
            </w:r>
          </w:p>
        </w:tc>
        <w:tc>
          <w:tcPr>
            <w:tcW w:type="dxa" w:w="1296"/>
          </w:tcPr>
          <w:p>
            <w:pPr>
              <w:spacing w:before="20" w:after="20" w:line="252" w:lineRule="auto"/>
              <w:jc w:val="center"/>
            </w:pPr>
            <w:r>
              <w:rPr>
                <w:rFonts w:ascii="Times New Roman" w:hAnsi="Times New Roman"/>
                <w:b/>
                <w:i w:val="0"/>
                <w:sz w:val="16"/>
              </w:rPr>
              <w:t>Sign-Test p</w:t>
            </w:r>
          </w:p>
        </w:tc>
        <w:tc>
          <w:tcPr>
            <w:tcW w:type="dxa" w:w="1296"/>
          </w:tcPr>
          <w:p>
            <w:pPr>
              <w:spacing w:before="20" w:after="20" w:line="252" w:lineRule="auto"/>
              <w:jc w:val="center"/>
            </w:pPr>
            <w:r>
              <w:rPr>
                <w:rFonts w:ascii="Times New Roman" w:hAnsi="Times New Roman"/>
                <w:b/>
                <w:i w:val="0"/>
                <w:sz w:val="16"/>
              </w:rPr>
              <w:t>Status</w:t>
            </w:r>
          </w:p>
        </w:tc>
      </w:tr>
      <w:tr>
        <w:tc>
          <w:tcPr>
            <w:tcW w:type="dxa" w:w="1296"/>
          </w:tcPr>
          <w:p>
            <w:pPr>
              <w:spacing w:before="20" w:after="20" w:line="252" w:lineRule="auto"/>
              <w:jc w:val="left"/>
            </w:pPr>
            <w:r>
              <w:rPr>
                <w:rFonts w:ascii="Times New Roman" w:hAnsi="Times New Roman"/>
                <w:b w:val="0"/>
                <w:i w:val="0"/>
                <w:sz w:val="16"/>
              </w:rPr>
              <w:t>Prophet Baseline</w:t>
            </w:r>
          </w:p>
        </w:tc>
        <w:tc>
          <w:tcPr>
            <w:tcW w:type="dxa" w:w="1296"/>
          </w:tcPr>
          <w:p>
            <w:pPr>
              <w:spacing w:before="20" w:after="20" w:line="252" w:lineRule="auto"/>
              <w:jc w:val="center"/>
            </w:pPr>
            <w:r>
              <w:rPr>
                <w:rFonts w:ascii="Times New Roman" w:hAnsi="Times New Roman"/>
                <w:b w:val="0"/>
                <w:i w:val="0"/>
                <w:sz w:val="16"/>
              </w:rPr>
              <w:t>27.95%</w:t>
            </w:r>
          </w:p>
        </w:tc>
        <w:tc>
          <w:tcPr>
            <w:tcW w:type="dxa" w:w="1296"/>
          </w:tcPr>
          <w:p>
            <w:pPr>
              <w:spacing w:before="20" w:after="20" w:line="252" w:lineRule="auto"/>
              <w:jc w:val="center"/>
            </w:pPr>
            <w:r>
              <w:rPr>
                <w:rFonts w:ascii="Times New Roman" w:hAnsi="Times New Roman"/>
                <w:b w:val="0"/>
                <w:i w:val="0"/>
                <w:sz w:val="16"/>
              </w:rPr>
              <w:t>-</w:t>
            </w:r>
          </w:p>
        </w:tc>
        <w:tc>
          <w:tcPr>
            <w:tcW w:type="dxa" w:w="1296"/>
          </w:tcPr>
          <w:p>
            <w:pPr>
              <w:spacing w:before="20" w:after="20" w:line="252" w:lineRule="auto"/>
              <w:jc w:val="center"/>
            </w:pPr>
            <w:r>
              <w:rPr>
                <w:rFonts w:ascii="Times New Roman" w:hAnsi="Times New Roman"/>
                <w:b w:val="0"/>
                <w:i w:val="0"/>
                <w:sz w:val="16"/>
              </w:rPr>
              <w:t>-</w:t>
            </w:r>
          </w:p>
        </w:tc>
        <w:tc>
          <w:tcPr>
            <w:tcW w:type="dxa" w:w="1296"/>
          </w:tcPr>
          <w:p>
            <w:pPr>
              <w:spacing w:before="20" w:after="20" w:line="252" w:lineRule="auto"/>
              <w:jc w:val="center"/>
            </w:pPr>
            <w:r>
              <w:rPr>
                <w:rFonts w:ascii="Times New Roman" w:hAnsi="Times New Roman"/>
                <w:b w:val="0"/>
                <w:i w:val="0"/>
                <w:sz w:val="16"/>
              </w:rPr>
              <w:t>-</w:t>
            </w:r>
          </w:p>
        </w:tc>
        <w:tc>
          <w:tcPr>
            <w:tcW w:type="dxa" w:w="1296"/>
          </w:tcPr>
          <w:p>
            <w:pPr>
              <w:spacing w:before="20" w:after="20" w:line="252" w:lineRule="auto"/>
              <w:jc w:val="center"/>
            </w:pPr>
            <w:r>
              <w:rPr>
                <w:rFonts w:ascii="Times New Roman" w:hAnsi="Times New Roman"/>
                <w:b w:val="0"/>
                <w:i w:val="0"/>
                <w:sz w:val="16"/>
              </w:rPr>
              <w:t>-</w:t>
            </w:r>
          </w:p>
        </w:tc>
        <w:tc>
          <w:tcPr>
            <w:tcW w:type="dxa" w:w="1296"/>
          </w:tcPr>
          <w:p>
            <w:pPr>
              <w:spacing w:before="20" w:after="20" w:line="252" w:lineRule="auto"/>
              <w:jc w:val="center"/>
            </w:pPr>
            <w:r>
              <w:rPr>
                <w:rFonts w:ascii="Times New Roman" w:hAnsi="Times New Roman"/>
                <w:b w:val="0"/>
                <w:i w:val="0"/>
                <w:sz w:val="16"/>
              </w:rPr>
              <w:t>-</w:t>
            </w:r>
          </w:p>
        </w:tc>
        <w:tc>
          <w:tcPr>
            <w:tcW w:type="dxa" w:w="1296"/>
          </w:tcPr>
          <w:p>
            <w:pPr>
              <w:spacing w:before="20" w:after="20" w:line="252" w:lineRule="auto"/>
              <w:jc w:val="center"/>
            </w:pPr>
            <w:r>
              <w:rPr>
                <w:rFonts w:ascii="Times New Roman" w:hAnsi="Times New Roman"/>
                <w:b w:val="0"/>
                <w:i w:val="0"/>
                <w:sz w:val="16"/>
              </w:rPr>
              <w:t>Shipped Baseline</w:t>
            </w:r>
          </w:p>
        </w:tc>
      </w:tr>
      <w:tr>
        <w:tc>
          <w:tcPr>
            <w:tcW w:type="dxa" w:w="1296"/>
          </w:tcPr>
          <w:p>
            <w:pPr>
              <w:spacing w:before="20" w:after="20" w:line="252" w:lineRule="auto"/>
              <w:jc w:val="left"/>
            </w:pPr>
            <w:r>
              <w:rPr>
                <w:rFonts w:ascii="Times New Roman" w:hAnsi="Times New Roman"/>
                <w:b w:val="0"/>
                <w:i w:val="0"/>
                <w:sz w:val="16"/>
              </w:rPr>
              <w:t>Research Hybrid (Prophet+HGBR)</w:t>
            </w:r>
          </w:p>
        </w:tc>
        <w:tc>
          <w:tcPr>
            <w:tcW w:type="dxa" w:w="1296"/>
          </w:tcPr>
          <w:p>
            <w:pPr>
              <w:spacing w:before="20" w:after="20" w:line="252" w:lineRule="auto"/>
              <w:jc w:val="center"/>
            </w:pPr>
            <w:r>
              <w:rPr>
                <w:rFonts w:ascii="Times New Roman" w:hAnsi="Times New Roman"/>
                <w:b w:val="0"/>
                <w:i w:val="0"/>
                <w:sz w:val="16"/>
              </w:rPr>
              <w:t>27.66%</w:t>
            </w:r>
          </w:p>
        </w:tc>
        <w:tc>
          <w:tcPr>
            <w:tcW w:type="dxa" w:w="1296"/>
          </w:tcPr>
          <w:p>
            <w:pPr>
              <w:spacing w:before="20" w:after="20" w:line="252" w:lineRule="auto"/>
              <w:jc w:val="center"/>
            </w:pPr>
            <w:r>
              <w:rPr>
                <w:rFonts w:ascii="Times New Roman" w:hAnsi="Times New Roman"/>
                <w:b w:val="0"/>
                <w:i w:val="0"/>
                <w:sz w:val="16"/>
              </w:rPr>
              <w:t>19 / 38</w:t>
            </w:r>
          </w:p>
        </w:tc>
        <w:tc>
          <w:tcPr>
            <w:tcW w:type="dxa" w:w="1296"/>
          </w:tcPr>
          <w:p>
            <w:pPr>
              <w:spacing w:before="20" w:after="20" w:line="252" w:lineRule="auto"/>
              <w:jc w:val="center"/>
            </w:pPr>
            <w:r>
              <w:rPr>
                <w:rFonts w:ascii="Times New Roman" w:hAnsi="Times New Roman"/>
                <w:b w:val="0"/>
                <w:i w:val="0"/>
                <w:sz w:val="16"/>
              </w:rPr>
              <w:t>50.0%</w:t>
            </w:r>
          </w:p>
        </w:tc>
        <w:tc>
          <w:tcPr>
            <w:tcW w:type="dxa" w:w="1296"/>
          </w:tcPr>
          <w:p>
            <w:pPr>
              <w:spacing w:before="20" w:after="20" w:line="252" w:lineRule="auto"/>
              <w:jc w:val="center"/>
            </w:pPr>
            <w:r>
              <w:rPr>
                <w:rFonts w:ascii="Times New Roman" w:hAnsi="Times New Roman"/>
                <w:b w:val="0"/>
                <w:i w:val="0"/>
                <w:sz w:val="16"/>
              </w:rPr>
              <w:t>+0.29</w:t>
            </w:r>
          </w:p>
        </w:tc>
        <w:tc>
          <w:tcPr>
            <w:tcW w:type="dxa" w:w="1296"/>
          </w:tcPr>
          <w:p>
            <w:pPr>
              <w:spacing w:before="20" w:after="20" w:line="252" w:lineRule="auto"/>
              <w:jc w:val="center"/>
            </w:pPr>
            <w:r>
              <w:rPr>
                <w:rFonts w:ascii="Times New Roman" w:hAnsi="Times New Roman"/>
                <w:b w:val="0"/>
                <w:i w:val="0"/>
                <w:sz w:val="16"/>
              </w:rPr>
              <w:t>[-0.91, +0.29]</w:t>
            </w:r>
          </w:p>
        </w:tc>
        <w:tc>
          <w:tcPr>
            <w:tcW w:type="dxa" w:w="1296"/>
          </w:tcPr>
          <w:p>
            <w:pPr>
              <w:spacing w:before="20" w:after="20" w:line="252" w:lineRule="auto"/>
              <w:jc w:val="center"/>
            </w:pPr>
            <w:r>
              <w:rPr>
                <w:rFonts w:ascii="Times New Roman" w:hAnsi="Times New Roman"/>
                <w:b w:val="0"/>
                <w:i w:val="0"/>
                <w:sz w:val="16"/>
              </w:rPr>
              <w:t>p = 1.000</w:t>
            </w:r>
          </w:p>
        </w:tc>
        <w:tc>
          <w:tcPr>
            <w:tcW w:type="dxa" w:w="1296"/>
          </w:tcPr>
          <w:p>
            <w:pPr>
              <w:spacing w:before="20" w:after="20" w:line="252" w:lineRule="auto"/>
              <w:jc w:val="center"/>
            </w:pPr>
            <w:r>
              <w:rPr>
                <w:rFonts w:ascii="Times New Roman" w:hAnsi="Times New Roman"/>
                <w:b w:val="0"/>
                <w:i w:val="0"/>
                <w:sz w:val="16"/>
              </w:rPr>
              <w:t>Probabilistic Parity</w:t>
            </w:r>
          </w:p>
        </w:tc>
      </w:tr>
      <w:tr>
        <w:tc>
          <w:tcPr>
            <w:tcW w:type="dxa" w:w="1296"/>
          </w:tcPr>
          <w:p>
            <w:pPr>
              <w:spacing w:before="20" w:after="20" w:line="252" w:lineRule="auto"/>
              <w:jc w:val="left"/>
            </w:pPr>
            <w:r>
              <w:rPr>
                <w:rFonts w:ascii="Times New Roman" w:hAnsi="Times New Roman"/>
                <w:b w:val="0"/>
                <w:i w:val="0"/>
                <w:sz w:val="16"/>
              </w:rPr>
              <w:t>Control 1 (Prophet Comps in GBDT)</w:t>
            </w:r>
          </w:p>
        </w:tc>
        <w:tc>
          <w:tcPr>
            <w:tcW w:type="dxa" w:w="1296"/>
          </w:tcPr>
          <w:p>
            <w:pPr>
              <w:spacing w:before="20" w:after="20" w:line="252" w:lineRule="auto"/>
              <w:jc w:val="center"/>
            </w:pPr>
            <w:r>
              <w:rPr>
                <w:rFonts w:ascii="Times New Roman" w:hAnsi="Times New Roman"/>
                <w:b w:val="0"/>
                <w:i w:val="0"/>
                <w:sz w:val="16"/>
              </w:rPr>
              <w:t>28.09%</w:t>
            </w:r>
          </w:p>
        </w:tc>
        <w:tc>
          <w:tcPr>
            <w:tcW w:type="dxa" w:w="1296"/>
          </w:tcPr>
          <w:p>
            <w:pPr>
              <w:spacing w:before="20" w:after="20" w:line="252" w:lineRule="auto"/>
              <w:jc w:val="center"/>
            </w:pPr>
            <w:r>
              <w:rPr>
                <w:rFonts w:ascii="Times New Roman" w:hAnsi="Times New Roman"/>
                <w:b w:val="0"/>
                <w:i w:val="0"/>
                <w:sz w:val="16"/>
              </w:rPr>
              <w:t>18 / 38</w:t>
            </w:r>
          </w:p>
        </w:tc>
        <w:tc>
          <w:tcPr>
            <w:tcW w:type="dxa" w:w="1296"/>
          </w:tcPr>
          <w:p>
            <w:pPr>
              <w:spacing w:before="20" w:after="20" w:line="252" w:lineRule="auto"/>
              <w:jc w:val="center"/>
            </w:pPr>
            <w:r>
              <w:rPr>
                <w:rFonts w:ascii="Times New Roman" w:hAnsi="Times New Roman"/>
                <w:b w:val="0"/>
                <w:i w:val="0"/>
                <w:sz w:val="16"/>
              </w:rPr>
              <w:t>47.4%</w:t>
            </w:r>
          </w:p>
        </w:tc>
        <w:tc>
          <w:tcPr>
            <w:tcW w:type="dxa" w:w="1296"/>
          </w:tcPr>
          <w:p>
            <w:pPr>
              <w:spacing w:before="20" w:after="20" w:line="252" w:lineRule="auto"/>
              <w:jc w:val="center"/>
            </w:pPr>
            <w:r>
              <w:rPr>
                <w:rFonts w:ascii="Times New Roman" w:hAnsi="Times New Roman"/>
                <w:b w:val="0"/>
                <w:i w:val="0"/>
                <w:sz w:val="16"/>
              </w:rPr>
              <w:t>-0.14</w:t>
            </w:r>
          </w:p>
        </w:tc>
        <w:tc>
          <w:tcPr>
            <w:tcW w:type="dxa" w:w="1296"/>
          </w:tcPr>
          <w:p>
            <w:pPr>
              <w:spacing w:before="20" w:after="20" w:line="252" w:lineRule="auto"/>
              <w:jc w:val="center"/>
            </w:pPr>
            <w:r>
              <w:rPr>
                <w:rFonts w:ascii="Times New Roman" w:hAnsi="Times New Roman"/>
                <w:b w:val="0"/>
                <w:i w:val="0"/>
                <w:sz w:val="16"/>
              </w:rPr>
              <w:t>[-1.58, +1.09]</w:t>
            </w:r>
          </w:p>
        </w:tc>
        <w:tc>
          <w:tcPr>
            <w:tcW w:type="dxa" w:w="1296"/>
          </w:tcPr>
          <w:p>
            <w:pPr>
              <w:spacing w:before="20" w:after="20" w:line="252" w:lineRule="auto"/>
              <w:jc w:val="center"/>
            </w:pPr>
            <w:r>
              <w:rPr>
                <w:rFonts w:ascii="Times New Roman" w:hAnsi="Times New Roman"/>
                <w:b w:val="0"/>
                <w:i w:val="0"/>
                <w:sz w:val="16"/>
              </w:rPr>
              <w:t>p = 0.871</w:t>
            </w:r>
          </w:p>
        </w:tc>
        <w:tc>
          <w:tcPr>
            <w:tcW w:type="dxa" w:w="1296"/>
          </w:tcPr>
          <w:p>
            <w:pPr>
              <w:spacing w:before="20" w:after="20" w:line="252" w:lineRule="auto"/>
              <w:jc w:val="center"/>
            </w:pPr>
            <w:r>
              <w:rPr>
                <w:rFonts w:ascii="Times New Roman" w:hAnsi="Times New Roman"/>
                <w:b w:val="0"/>
                <w:i w:val="0"/>
                <w:sz w:val="16"/>
              </w:rPr>
              <w:t>Parity</w:t>
            </w:r>
          </w:p>
        </w:tc>
      </w:tr>
      <w:tr>
        <w:tc>
          <w:tcPr>
            <w:tcW w:type="dxa" w:w="1296"/>
          </w:tcPr>
          <w:p>
            <w:pPr>
              <w:spacing w:before="20" w:after="20" w:line="252" w:lineRule="auto"/>
              <w:jc w:val="left"/>
            </w:pPr>
            <w:r>
              <w:rPr>
                <w:rFonts w:ascii="Times New Roman" w:hAnsi="Times New Roman"/>
                <w:b w:val="0"/>
                <w:i w:val="0"/>
                <w:sz w:val="16"/>
              </w:rPr>
              <w:t>Control 2 (GBDT + Lag 7)</w:t>
            </w:r>
          </w:p>
        </w:tc>
        <w:tc>
          <w:tcPr>
            <w:tcW w:type="dxa" w:w="1296"/>
          </w:tcPr>
          <w:p>
            <w:pPr>
              <w:spacing w:before="20" w:after="20" w:line="252" w:lineRule="auto"/>
              <w:jc w:val="center"/>
            </w:pPr>
            <w:r>
              <w:rPr>
                <w:rFonts w:ascii="Times New Roman" w:hAnsi="Times New Roman"/>
                <w:b w:val="0"/>
                <w:i w:val="0"/>
                <w:sz w:val="16"/>
              </w:rPr>
              <w:t>27.42%</w:t>
            </w:r>
          </w:p>
        </w:tc>
        <w:tc>
          <w:tcPr>
            <w:tcW w:type="dxa" w:w="1296"/>
          </w:tcPr>
          <w:p>
            <w:pPr>
              <w:spacing w:before="20" w:after="20" w:line="252" w:lineRule="auto"/>
              <w:jc w:val="center"/>
            </w:pPr>
            <w:r>
              <w:rPr>
                <w:rFonts w:ascii="Times New Roman" w:hAnsi="Times New Roman"/>
                <w:b w:val="0"/>
                <w:i w:val="0"/>
                <w:sz w:val="16"/>
              </w:rPr>
              <w:t>22 / 38</w:t>
            </w:r>
          </w:p>
        </w:tc>
        <w:tc>
          <w:tcPr>
            <w:tcW w:type="dxa" w:w="1296"/>
          </w:tcPr>
          <w:p>
            <w:pPr>
              <w:spacing w:before="20" w:after="20" w:line="252" w:lineRule="auto"/>
              <w:jc w:val="center"/>
            </w:pPr>
            <w:r>
              <w:rPr>
                <w:rFonts w:ascii="Times New Roman" w:hAnsi="Times New Roman"/>
                <w:b w:val="0"/>
                <w:i w:val="0"/>
                <w:sz w:val="16"/>
              </w:rPr>
              <w:t>57.9%</w:t>
            </w:r>
          </w:p>
        </w:tc>
        <w:tc>
          <w:tcPr>
            <w:tcW w:type="dxa" w:w="1296"/>
          </w:tcPr>
          <w:p>
            <w:pPr>
              <w:spacing w:before="20" w:after="20" w:line="252" w:lineRule="auto"/>
              <w:jc w:val="center"/>
            </w:pPr>
            <w:r>
              <w:rPr>
                <w:rFonts w:ascii="Times New Roman" w:hAnsi="Times New Roman"/>
                <w:b w:val="0"/>
                <w:i w:val="0"/>
                <w:sz w:val="16"/>
              </w:rPr>
              <w:t>+0.53</w:t>
            </w:r>
          </w:p>
        </w:tc>
        <w:tc>
          <w:tcPr>
            <w:tcW w:type="dxa" w:w="1296"/>
          </w:tcPr>
          <w:p>
            <w:pPr>
              <w:spacing w:before="20" w:after="20" w:line="252" w:lineRule="auto"/>
              <w:jc w:val="center"/>
            </w:pPr>
            <w:r>
              <w:rPr>
                <w:rFonts w:ascii="Times New Roman" w:hAnsi="Times New Roman"/>
                <w:b w:val="0"/>
                <w:i w:val="0"/>
                <w:sz w:val="16"/>
              </w:rPr>
              <w:t>[-0.21, +1.64]</w:t>
            </w:r>
          </w:p>
        </w:tc>
        <w:tc>
          <w:tcPr>
            <w:tcW w:type="dxa" w:w="1296"/>
          </w:tcPr>
          <w:p>
            <w:pPr>
              <w:spacing w:before="20" w:after="20" w:line="252" w:lineRule="auto"/>
              <w:jc w:val="center"/>
            </w:pPr>
            <w:r>
              <w:rPr>
                <w:rFonts w:ascii="Times New Roman" w:hAnsi="Times New Roman"/>
                <w:b w:val="0"/>
                <w:i w:val="0"/>
                <w:sz w:val="16"/>
              </w:rPr>
              <w:t>p = 0.418</w:t>
            </w:r>
          </w:p>
        </w:tc>
        <w:tc>
          <w:tcPr>
            <w:tcW w:type="dxa" w:w="1296"/>
          </w:tcPr>
          <w:p>
            <w:pPr>
              <w:spacing w:before="20" w:after="20" w:line="252" w:lineRule="auto"/>
              <w:jc w:val="center"/>
            </w:pPr>
            <w:r>
              <w:rPr>
                <w:rFonts w:ascii="Times New Roman" w:hAnsi="Times New Roman"/>
                <w:b w:val="0"/>
                <w:i w:val="0"/>
                <w:sz w:val="16"/>
              </w:rPr>
              <w:t>Marginal Gain</w:t>
            </w:r>
          </w:p>
        </w:tc>
      </w:tr>
      <w:tr>
        <w:tc>
          <w:tcPr>
            <w:tcW w:type="dxa" w:w="1296"/>
          </w:tcPr>
          <w:p>
            <w:pPr>
              <w:spacing w:before="20" w:after="20" w:line="252" w:lineRule="auto"/>
              <w:jc w:val="left"/>
            </w:pPr>
            <w:r>
              <w:rPr>
                <w:rFonts w:ascii="Times New Roman" w:hAnsi="Times New Roman"/>
                <w:b w:val="0"/>
                <w:i w:val="0"/>
                <w:sz w:val="16"/>
              </w:rPr>
              <w:t>Control 3 (GBDT + Lag 1 Telemetry)</w:t>
            </w:r>
          </w:p>
        </w:tc>
        <w:tc>
          <w:tcPr>
            <w:tcW w:type="dxa" w:w="1296"/>
          </w:tcPr>
          <w:p>
            <w:pPr>
              <w:spacing w:before="20" w:after="20" w:line="252" w:lineRule="auto"/>
              <w:jc w:val="center"/>
            </w:pPr>
            <w:r>
              <w:rPr>
                <w:rFonts w:ascii="Times New Roman" w:hAnsi="Times New Roman"/>
                <w:b w:val="0"/>
                <w:i w:val="0"/>
                <w:sz w:val="16"/>
              </w:rPr>
              <w:t>25.48%</w:t>
            </w:r>
          </w:p>
        </w:tc>
        <w:tc>
          <w:tcPr>
            <w:tcW w:type="dxa" w:w="1296"/>
          </w:tcPr>
          <w:p>
            <w:pPr>
              <w:spacing w:before="20" w:after="20" w:line="252" w:lineRule="auto"/>
              <w:jc w:val="center"/>
            </w:pPr>
            <w:r>
              <w:rPr>
                <w:rFonts w:ascii="Times New Roman" w:hAnsi="Times New Roman"/>
                <w:b w:val="0"/>
                <w:i w:val="0"/>
                <w:sz w:val="16"/>
              </w:rPr>
              <w:t>27 / 38</w:t>
            </w:r>
          </w:p>
        </w:tc>
        <w:tc>
          <w:tcPr>
            <w:tcW w:type="dxa" w:w="1296"/>
          </w:tcPr>
          <w:p>
            <w:pPr>
              <w:spacing w:before="20" w:after="20" w:line="252" w:lineRule="auto"/>
              <w:jc w:val="center"/>
            </w:pPr>
            <w:r>
              <w:rPr>
                <w:rFonts w:ascii="Times New Roman" w:hAnsi="Times New Roman"/>
                <w:b w:val="0"/>
                <w:i w:val="0"/>
                <w:sz w:val="16"/>
              </w:rPr>
              <w:t>71.1%</w:t>
            </w:r>
          </w:p>
        </w:tc>
        <w:tc>
          <w:tcPr>
            <w:tcW w:type="dxa" w:w="1296"/>
          </w:tcPr>
          <w:p>
            <w:pPr>
              <w:spacing w:before="20" w:after="20" w:line="252" w:lineRule="auto"/>
              <w:jc w:val="center"/>
            </w:pPr>
            <w:r>
              <w:rPr>
                <w:rFonts w:ascii="Times New Roman" w:hAnsi="Times New Roman"/>
                <w:b w:val="0"/>
                <w:i w:val="0"/>
                <w:sz w:val="16"/>
              </w:rPr>
              <w:t>+2.47</w:t>
            </w:r>
          </w:p>
        </w:tc>
        <w:tc>
          <w:tcPr>
            <w:tcW w:type="dxa" w:w="1296"/>
          </w:tcPr>
          <w:p>
            <w:pPr>
              <w:spacing w:before="20" w:after="20" w:line="252" w:lineRule="auto"/>
              <w:jc w:val="center"/>
            </w:pPr>
            <w:r>
              <w:rPr>
                <w:rFonts w:ascii="Times New Roman" w:hAnsi="Times New Roman"/>
                <w:b w:val="0"/>
                <w:i w:val="0"/>
                <w:sz w:val="16"/>
              </w:rPr>
              <w:t>[+0.49, +4.76]</w:t>
            </w:r>
          </w:p>
        </w:tc>
        <w:tc>
          <w:tcPr>
            <w:tcW w:type="dxa" w:w="1296"/>
          </w:tcPr>
          <w:p>
            <w:pPr>
              <w:spacing w:before="20" w:after="20" w:line="252" w:lineRule="auto"/>
              <w:jc w:val="center"/>
            </w:pPr>
            <w:r>
              <w:rPr>
                <w:rFonts w:ascii="Times New Roman" w:hAnsi="Times New Roman"/>
                <w:b w:val="0"/>
                <w:i w:val="0"/>
                <w:sz w:val="16"/>
              </w:rPr>
              <w:t>p = 0.0138</w:t>
            </w:r>
          </w:p>
        </w:tc>
        <w:tc>
          <w:tcPr>
            <w:tcW w:type="dxa" w:w="1296"/>
          </w:tcPr>
          <w:p>
            <w:pPr>
              <w:spacing w:before="20" w:after="20" w:line="252" w:lineRule="auto"/>
              <w:jc w:val="center"/>
            </w:pPr>
            <w:r>
              <w:rPr>
                <w:rFonts w:ascii="Times New Roman" w:hAnsi="Times New Roman"/>
                <w:b w:val="0"/>
                <w:i w:val="0"/>
                <w:sz w:val="16"/>
              </w:rPr>
              <w:t>Statistically Superior</w:t>
            </w:r>
          </w:p>
        </w:tc>
      </w:tr>
      <w:tr>
        <w:tc>
          <w:tcPr>
            <w:tcW w:type="dxa" w:w="1296"/>
          </w:tcPr>
          <w:p>
            <w:pPr>
              <w:spacing w:before="20" w:after="20" w:line="252" w:lineRule="auto"/>
              <w:jc w:val="left"/>
            </w:pPr>
            <w:r>
              <w:rPr>
                <w:rFonts w:ascii="Times New Roman" w:hAnsi="Times New Roman"/>
                <w:b w:val="0"/>
                <w:i w:val="0"/>
                <w:sz w:val="16"/>
              </w:rPr>
              <w:t>Real Weather Model</w:t>
            </w:r>
          </w:p>
        </w:tc>
        <w:tc>
          <w:tcPr>
            <w:tcW w:type="dxa" w:w="1296"/>
          </w:tcPr>
          <w:p>
            <w:pPr>
              <w:spacing w:before="20" w:after="20" w:line="252" w:lineRule="auto"/>
              <w:jc w:val="center"/>
            </w:pPr>
            <w:r>
              <w:rPr>
                <w:rFonts w:ascii="Times New Roman" w:hAnsi="Times New Roman"/>
                <w:b w:val="0"/>
                <w:i w:val="0"/>
                <w:sz w:val="16"/>
              </w:rPr>
              <w:t>27.63%</w:t>
            </w:r>
          </w:p>
        </w:tc>
        <w:tc>
          <w:tcPr>
            <w:tcW w:type="dxa" w:w="1296"/>
          </w:tcPr>
          <w:p>
            <w:pPr>
              <w:spacing w:before="20" w:after="20" w:line="252" w:lineRule="auto"/>
              <w:jc w:val="center"/>
            </w:pPr>
            <w:r>
              <w:rPr>
                <w:rFonts w:ascii="Times New Roman" w:hAnsi="Times New Roman"/>
                <w:b w:val="0"/>
                <w:i w:val="0"/>
                <w:sz w:val="16"/>
              </w:rPr>
              <w:t>24 / 38</w:t>
            </w:r>
          </w:p>
        </w:tc>
        <w:tc>
          <w:tcPr>
            <w:tcW w:type="dxa" w:w="1296"/>
          </w:tcPr>
          <w:p>
            <w:pPr>
              <w:spacing w:before="20" w:after="20" w:line="252" w:lineRule="auto"/>
              <w:jc w:val="center"/>
            </w:pPr>
            <w:r>
              <w:rPr>
                <w:rFonts w:ascii="Times New Roman" w:hAnsi="Times New Roman"/>
                <w:b w:val="0"/>
                <w:i w:val="0"/>
                <w:sz w:val="16"/>
              </w:rPr>
              <w:t>63.2%</w:t>
            </w:r>
          </w:p>
        </w:tc>
        <w:tc>
          <w:tcPr>
            <w:tcW w:type="dxa" w:w="1296"/>
          </w:tcPr>
          <w:p>
            <w:pPr>
              <w:spacing w:before="20" w:after="20" w:line="252" w:lineRule="auto"/>
              <w:jc w:val="center"/>
            </w:pPr>
            <w:r>
              <w:rPr>
                <w:rFonts w:ascii="Times New Roman" w:hAnsi="Times New Roman"/>
                <w:b w:val="0"/>
                <w:i w:val="0"/>
                <w:sz w:val="16"/>
              </w:rPr>
              <w:t>+0.32</w:t>
            </w:r>
          </w:p>
        </w:tc>
        <w:tc>
          <w:tcPr>
            <w:tcW w:type="dxa" w:w="1296"/>
          </w:tcPr>
          <w:p>
            <w:pPr>
              <w:spacing w:before="20" w:after="20" w:line="252" w:lineRule="auto"/>
              <w:jc w:val="center"/>
            </w:pPr>
            <w:r>
              <w:rPr>
                <w:rFonts w:ascii="Times New Roman" w:hAnsi="Times New Roman"/>
                <w:b w:val="0"/>
                <w:i w:val="0"/>
                <w:sz w:val="16"/>
              </w:rPr>
              <w:t>[-0.24, +0.87]</w:t>
            </w:r>
          </w:p>
        </w:tc>
        <w:tc>
          <w:tcPr>
            <w:tcW w:type="dxa" w:w="1296"/>
          </w:tcPr>
          <w:p>
            <w:pPr>
              <w:spacing w:before="20" w:after="20" w:line="252" w:lineRule="auto"/>
              <w:jc w:val="center"/>
            </w:pPr>
            <w:r>
              <w:rPr>
                <w:rFonts w:ascii="Times New Roman" w:hAnsi="Times New Roman"/>
                <w:b w:val="0"/>
                <w:i w:val="0"/>
                <w:sz w:val="16"/>
              </w:rPr>
              <w:t>p = 0.143</w:t>
            </w:r>
          </w:p>
        </w:tc>
        <w:tc>
          <w:tcPr>
            <w:tcW w:type="dxa" w:w="1296"/>
          </w:tcPr>
          <w:p>
            <w:pPr>
              <w:spacing w:before="20" w:after="20" w:line="252" w:lineRule="auto"/>
              <w:jc w:val="center"/>
            </w:pPr>
            <w:r>
              <w:rPr>
                <w:rFonts w:ascii="Times New Roman" w:hAnsi="Times New Roman"/>
                <w:b w:val="0"/>
                <w:i w:val="0"/>
                <w:sz w:val="16"/>
              </w:rPr>
              <w:t>Rejected (Spans 0)</w:t>
            </w:r>
          </w:p>
        </w:tc>
      </w:tr>
      <w:tr>
        <w:tc>
          <w:tcPr>
            <w:tcW w:type="dxa" w:w="1296"/>
          </w:tcPr>
          <w:p>
            <w:pPr>
              <w:spacing w:before="20" w:after="20" w:line="252" w:lineRule="auto"/>
              <w:jc w:val="left"/>
            </w:pPr>
            <w:r>
              <w:rPr>
                <w:rFonts w:ascii="Times New Roman" w:hAnsi="Times New Roman"/>
                <w:b w:val="0"/>
                <w:i w:val="0"/>
                <w:sz w:val="16"/>
              </w:rPr>
              <w:t>Seasonal Naive (Lag 7)</w:t>
            </w:r>
          </w:p>
        </w:tc>
        <w:tc>
          <w:tcPr>
            <w:tcW w:type="dxa" w:w="1296"/>
          </w:tcPr>
          <w:p>
            <w:pPr>
              <w:spacing w:before="20" w:after="20" w:line="252" w:lineRule="auto"/>
              <w:jc w:val="center"/>
            </w:pPr>
            <w:r>
              <w:rPr>
                <w:rFonts w:ascii="Times New Roman" w:hAnsi="Times New Roman"/>
                <w:b w:val="0"/>
                <w:i w:val="0"/>
                <w:sz w:val="16"/>
              </w:rPr>
              <w:t>30.39%</w:t>
            </w:r>
          </w:p>
        </w:tc>
        <w:tc>
          <w:tcPr>
            <w:tcW w:type="dxa" w:w="1296"/>
          </w:tcPr>
          <w:p>
            <w:pPr>
              <w:spacing w:before="20" w:after="20" w:line="252" w:lineRule="auto"/>
              <w:jc w:val="center"/>
            </w:pPr>
            <w:r>
              <w:rPr>
                <w:rFonts w:ascii="Times New Roman" w:hAnsi="Times New Roman"/>
                <w:b w:val="0"/>
                <w:i w:val="0"/>
                <w:sz w:val="16"/>
              </w:rPr>
              <w:t>-</w:t>
            </w:r>
          </w:p>
        </w:tc>
        <w:tc>
          <w:tcPr>
            <w:tcW w:type="dxa" w:w="1296"/>
          </w:tcPr>
          <w:p>
            <w:pPr>
              <w:spacing w:before="20" w:after="20" w:line="252" w:lineRule="auto"/>
              <w:jc w:val="center"/>
            </w:pPr>
            <w:r>
              <w:rPr>
                <w:rFonts w:ascii="Times New Roman" w:hAnsi="Times New Roman"/>
                <w:b w:val="0"/>
                <w:i w:val="0"/>
                <w:sz w:val="16"/>
              </w:rPr>
              <w:t>-</w:t>
            </w:r>
          </w:p>
        </w:tc>
        <w:tc>
          <w:tcPr>
            <w:tcW w:type="dxa" w:w="1296"/>
          </w:tcPr>
          <w:p>
            <w:pPr>
              <w:spacing w:before="20" w:after="20" w:line="252" w:lineRule="auto"/>
              <w:jc w:val="center"/>
            </w:pPr>
            <w:r>
              <w:rPr>
                <w:rFonts w:ascii="Times New Roman" w:hAnsi="Times New Roman"/>
                <w:b w:val="0"/>
                <w:i w:val="0"/>
                <w:sz w:val="16"/>
              </w:rPr>
              <w:t>-2.44</w:t>
            </w:r>
          </w:p>
        </w:tc>
        <w:tc>
          <w:tcPr>
            <w:tcW w:type="dxa" w:w="1296"/>
          </w:tcPr>
          <w:p>
            <w:pPr>
              <w:spacing w:before="20" w:after="20" w:line="252" w:lineRule="auto"/>
              <w:jc w:val="center"/>
            </w:pPr>
            <w:r>
              <w:rPr>
                <w:rFonts w:ascii="Times New Roman" w:hAnsi="Times New Roman"/>
                <w:b w:val="0"/>
                <w:i w:val="0"/>
                <w:sz w:val="16"/>
              </w:rPr>
              <w:t>-</w:t>
            </w:r>
          </w:p>
        </w:tc>
        <w:tc>
          <w:tcPr>
            <w:tcW w:type="dxa" w:w="1296"/>
          </w:tcPr>
          <w:p>
            <w:pPr>
              <w:spacing w:before="20" w:after="20" w:line="252" w:lineRule="auto"/>
              <w:jc w:val="center"/>
            </w:pPr>
            <w:r>
              <w:rPr>
                <w:rFonts w:ascii="Times New Roman" w:hAnsi="Times New Roman"/>
                <w:b w:val="0"/>
                <w:i w:val="0"/>
                <w:sz w:val="16"/>
              </w:rPr>
              <w:t>-</w:t>
            </w:r>
          </w:p>
        </w:tc>
        <w:tc>
          <w:tcPr>
            <w:tcW w:type="dxa" w:w="1296"/>
          </w:tcPr>
          <w:p>
            <w:pPr>
              <w:spacing w:before="20" w:after="20" w:line="252" w:lineRule="auto"/>
              <w:jc w:val="center"/>
            </w:pPr>
            <w:r>
              <w:rPr>
                <w:rFonts w:ascii="Times New Roman" w:hAnsi="Times New Roman"/>
                <w:b w:val="0"/>
                <w:i w:val="0"/>
                <w:sz w:val="16"/>
              </w:rPr>
              <w:t>Classical Benchmark</w:t>
            </w:r>
          </w:p>
        </w:tc>
      </w:tr>
      <w:tr>
        <w:tc>
          <w:tcPr>
            <w:tcW w:type="dxa" w:w="1296"/>
          </w:tcPr>
          <w:p>
            <w:pPr>
              <w:spacing w:before="20" w:after="20" w:line="252" w:lineRule="auto"/>
              <w:jc w:val="left"/>
            </w:pPr>
            <w:r>
              <w:rPr>
                <w:rFonts w:ascii="Times New Roman" w:hAnsi="Times New Roman"/>
                <w:b w:val="0"/>
                <w:i w:val="0"/>
                <w:sz w:val="16"/>
              </w:rPr>
              <w:t>7-Day Moving Average</w:t>
            </w:r>
          </w:p>
        </w:tc>
        <w:tc>
          <w:tcPr>
            <w:tcW w:type="dxa" w:w="1296"/>
          </w:tcPr>
          <w:p>
            <w:pPr>
              <w:spacing w:before="20" w:after="20" w:line="252" w:lineRule="auto"/>
              <w:jc w:val="center"/>
            </w:pPr>
            <w:r>
              <w:rPr>
                <w:rFonts w:ascii="Times New Roman" w:hAnsi="Times New Roman"/>
                <w:b w:val="0"/>
                <w:i w:val="0"/>
                <w:sz w:val="16"/>
              </w:rPr>
              <w:t>30.70%</w:t>
            </w:r>
          </w:p>
        </w:tc>
        <w:tc>
          <w:tcPr>
            <w:tcW w:type="dxa" w:w="1296"/>
          </w:tcPr>
          <w:p>
            <w:pPr>
              <w:spacing w:before="20" w:after="20" w:line="252" w:lineRule="auto"/>
              <w:jc w:val="center"/>
            </w:pPr>
            <w:r>
              <w:rPr>
                <w:rFonts w:ascii="Times New Roman" w:hAnsi="Times New Roman"/>
                <w:b w:val="0"/>
                <w:i w:val="0"/>
                <w:sz w:val="16"/>
              </w:rPr>
              <w:t>-</w:t>
            </w:r>
          </w:p>
        </w:tc>
        <w:tc>
          <w:tcPr>
            <w:tcW w:type="dxa" w:w="1296"/>
          </w:tcPr>
          <w:p>
            <w:pPr>
              <w:spacing w:before="20" w:after="20" w:line="252" w:lineRule="auto"/>
              <w:jc w:val="center"/>
            </w:pPr>
            <w:r>
              <w:rPr>
                <w:rFonts w:ascii="Times New Roman" w:hAnsi="Times New Roman"/>
                <w:b w:val="0"/>
                <w:i w:val="0"/>
                <w:sz w:val="16"/>
              </w:rPr>
              <w:t>-</w:t>
            </w:r>
          </w:p>
        </w:tc>
        <w:tc>
          <w:tcPr>
            <w:tcW w:type="dxa" w:w="1296"/>
          </w:tcPr>
          <w:p>
            <w:pPr>
              <w:spacing w:before="20" w:after="20" w:line="252" w:lineRule="auto"/>
              <w:jc w:val="center"/>
            </w:pPr>
            <w:r>
              <w:rPr>
                <w:rFonts w:ascii="Times New Roman" w:hAnsi="Times New Roman"/>
                <w:b w:val="0"/>
                <w:i w:val="0"/>
                <w:sz w:val="16"/>
              </w:rPr>
              <w:t>-2.75</w:t>
            </w:r>
          </w:p>
        </w:tc>
        <w:tc>
          <w:tcPr>
            <w:tcW w:type="dxa" w:w="1296"/>
          </w:tcPr>
          <w:p>
            <w:pPr>
              <w:spacing w:before="20" w:after="20" w:line="252" w:lineRule="auto"/>
              <w:jc w:val="center"/>
            </w:pPr>
            <w:r>
              <w:rPr>
                <w:rFonts w:ascii="Times New Roman" w:hAnsi="Times New Roman"/>
                <w:b w:val="0"/>
                <w:i w:val="0"/>
                <w:sz w:val="16"/>
              </w:rPr>
              <w:t>-</w:t>
            </w:r>
          </w:p>
        </w:tc>
        <w:tc>
          <w:tcPr>
            <w:tcW w:type="dxa" w:w="1296"/>
          </w:tcPr>
          <w:p>
            <w:pPr>
              <w:spacing w:before="20" w:after="20" w:line="252" w:lineRule="auto"/>
              <w:jc w:val="center"/>
            </w:pPr>
            <w:r>
              <w:rPr>
                <w:rFonts w:ascii="Times New Roman" w:hAnsi="Times New Roman"/>
                <w:b w:val="0"/>
                <w:i w:val="0"/>
                <w:sz w:val="16"/>
              </w:rPr>
              <w:t>-</w:t>
            </w:r>
          </w:p>
        </w:tc>
        <w:tc>
          <w:tcPr>
            <w:tcW w:type="dxa" w:w="1296"/>
          </w:tcPr>
          <w:p>
            <w:pPr>
              <w:spacing w:before="20" w:after="20" w:line="252" w:lineRule="auto"/>
              <w:jc w:val="center"/>
            </w:pPr>
            <w:r>
              <w:rPr>
                <w:rFonts w:ascii="Times New Roman" w:hAnsi="Times New Roman"/>
                <w:b w:val="0"/>
                <w:i w:val="0"/>
                <w:sz w:val="16"/>
              </w:rPr>
              <w:t>Classical Benchmark</w:t>
            </w:r>
          </w:p>
        </w:tc>
      </w:tr>
    </w:tbl>
    <w:p>
      <w:pPr>
        <w:spacing w:before="0" w:after="80" w:line="252" w:lineRule="auto"/>
        <w:jc w:val="left"/>
      </w:pPr>
    </w:p>
    <w:p>
      <w:pPr>
        <w:spacing w:before="0" w:after="80" w:line="252" w:lineRule="auto"/>
        <w:jc w:val="both"/>
      </w:pPr>
      <w:r>
        <w:rPr>
          <w:rFonts w:ascii="Times New Roman" w:hAnsi="Times New Roman"/>
          <w:b w:val="0"/>
          <w:i w:val="0"/>
          <w:sz w:val="20"/>
        </w:rPr>
        <w:t>As detailed in Table II, Control 3 (single-stage HistGradientBoosting utilizing day-ahead lag-1 telemetry) achieves the lowest pooled WAPE of 25.48%, delivering a statistically significant accuracy improvement of +2.47 percentage points over Prophet (27/38 fold wins, p = 0.0138, 95% CI [+0.49, +4.76]). This establishes day-ahead POS telemetry synchronization as the single largest predictive accuracy lever.</w:t>
      </w:r>
    </w:p>
    <w:p>
      <w:pPr>
        <w:spacing w:before="120" w:after="40" w:line="252" w:lineRule="auto"/>
        <w:jc w:val="left"/>
      </w:pPr>
      <w:r>
        <w:rPr>
          <w:rFonts w:ascii="Times New Roman" w:hAnsi="Times New Roman"/>
          <w:b/>
          <w:i/>
          <w:sz w:val="20"/>
        </w:rPr>
        <w:t>B.  Summer Peak Stress Test Evaluation</w:t>
      </w:r>
    </w:p>
    <w:p>
      <w:pPr>
        <w:spacing w:before="0" w:after="80" w:line="252" w:lineRule="auto"/>
        <w:jc w:val="both"/>
      </w:pPr>
      <w:r>
        <w:rPr>
          <w:rFonts w:ascii="Times New Roman" w:hAnsi="Times New Roman"/>
          <w:b w:val="0"/>
          <w:i w:val="0"/>
          <w:sz w:val="20"/>
        </w:rPr>
        <w:t>To evaluate algorithmic resilience under extreme non-stationary demand shocks, models were evaluated across 6 acute rolling folds during peak summer tourist inflows (16 July to 30 September 2022, totaling 36,929 actual demanded units across 35 SKUs).</w:t>
      </w:r>
    </w:p>
    <w:p>
      <w:pPr>
        <w:spacing w:before="160" w:after="60" w:line="252" w:lineRule="auto"/>
        <w:jc w:val="center"/>
      </w:pPr>
      <w:r>
        <w:rPr>
          <w:rFonts w:ascii="Times New Roman" w:hAnsi="Times New Roman"/>
          <w:b/>
          <w:i w:val="0"/>
          <w:sz w:val="17"/>
        </w:rPr>
        <w:t>TABLE III: SUMMER PEAK STRESS TEST ACCURACY MATRIX (6 ROLLING FOLDS)</w:t>
      </w:r>
    </w:p>
    <w:tbl>
      <w:tblPr>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tcPr>
          <w:p>
            <w:pPr>
              <w:spacing w:before="20" w:after="20" w:line="252" w:lineRule="auto"/>
              <w:jc w:val="center"/>
            </w:pPr>
            <w:r>
              <w:rPr>
                <w:rFonts w:ascii="Times New Roman" w:hAnsi="Times New Roman"/>
                <w:b/>
                <w:i w:val="0"/>
                <w:sz w:val="16"/>
              </w:rPr>
              <w:t>Summer Fold Horizon</w:t>
            </w:r>
          </w:p>
        </w:tc>
        <w:tc>
          <w:tcPr>
            <w:tcW w:type="dxa" w:w="1728"/>
          </w:tcPr>
          <w:p>
            <w:pPr>
              <w:spacing w:before="20" w:after="20" w:line="252" w:lineRule="auto"/>
              <w:jc w:val="center"/>
            </w:pPr>
            <w:r>
              <w:rPr>
                <w:rFonts w:ascii="Times New Roman" w:hAnsi="Times New Roman"/>
                <w:b/>
                <w:i w:val="0"/>
                <w:sz w:val="16"/>
              </w:rPr>
              <w:t>Demand (Units)</w:t>
            </w:r>
          </w:p>
        </w:tc>
        <w:tc>
          <w:tcPr>
            <w:tcW w:type="dxa" w:w="1728"/>
          </w:tcPr>
          <w:p>
            <w:pPr>
              <w:spacing w:before="20" w:after="20" w:line="252" w:lineRule="auto"/>
              <w:jc w:val="center"/>
            </w:pPr>
            <w:r>
              <w:rPr>
                <w:rFonts w:ascii="Times New Roman" w:hAnsi="Times New Roman"/>
                <w:b/>
                <w:i w:val="0"/>
                <w:sz w:val="16"/>
              </w:rPr>
              <w:t>Hybrid WAPE</w:t>
            </w:r>
          </w:p>
        </w:tc>
        <w:tc>
          <w:tcPr>
            <w:tcW w:type="dxa" w:w="1728"/>
          </w:tcPr>
          <w:p>
            <w:pPr>
              <w:spacing w:before="20" w:after="20" w:line="252" w:lineRule="auto"/>
              <w:jc w:val="center"/>
            </w:pPr>
            <w:r>
              <w:rPr>
                <w:rFonts w:ascii="Times New Roman" w:hAnsi="Times New Roman"/>
                <w:b/>
                <w:i w:val="0"/>
                <w:sz w:val="16"/>
              </w:rPr>
              <w:t>Prophet WAPE</w:t>
            </w:r>
          </w:p>
        </w:tc>
        <w:tc>
          <w:tcPr>
            <w:tcW w:type="dxa" w:w="1728"/>
          </w:tcPr>
          <w:p>
            <w:pPr>
              <w:spacing w:before="20" w:after="20" w:line="252" w:lineRule="auto"/>
              <w:jc w:val="center"/>
            </w:pPr>
            <w:r>
              <w:rPr>
                <w:rFonts w:ascii="Times New Roman" w:hAnsi="Times New Roman"/>
                <w:b/>
                <w:i w:val="0"/>
                <w:sz w:val="16"/>
              </w:rPr>
              <w:t>S. Naive</w:t>
            </w:r>
          </w:p>
        </w:tc>
        <w:tc>
          <w:tcPr>
            <w:tcW w:type="dxa" w:w="1728"/>
          </w:tcPr>
          <w:p>
            <w:pPr>
              <w:spacing w:before="20" w:after="20" w:line="252" w:lineRule="auto"/>
              <w:jc w:val="center"/>
            </w:pPr>
            <w:r>
              <w:rPr>
                <w:rFonts w:ascii="Times New Roman" w:hAnsi="Times New Roman"/>
                <w:b/>
                <w:i w:val="0"/>
                <w:sz w:val="16"/>
              </w:rPr>
              <w:t>7-Day MA</w:t>
            </w:r>
          </w:p>
        </w:tc>
      </w:tr>
      <w:tr>
        <w:tc>
          <w:tcPr>
            <w:tcW w:type="dxa" w:w="1728"/>
          </w:tcPr>
          <w:p>
            <w:pPr>
              <w:spacing w:before="20" w:after="20" w:line="252" w:lineRule="auto"/>
              <w:jc w:val="left"/>
            </w:pPr>
            <w:r>
              <w:rPr>
                <w:rFonts w:ascii="Times New Roman" w:hAnsi="Times New Roman"/>
                <w:b w:val="0"/>
                <w:i w:val="0"/>
                <w:sz w:val="16"/>
              </w:rPr>
              <w:t>Fold 29 (16 Jul - 22 Jul)</w:t>
            </w:r>
          </w:p>
        </w:tc>
        <w:tc>
          <w:tcPr>
            <w:tcW w:type="dxa" w:w="1728"/>
          </w:tcPr>
          <w:p>
            <w:pPr>
              <w:spacing w:before="20" w:after="20" w:line="252" w:lineRule="auto"/>
              <w:jc w:val="center"/>
            </w:pPr>
            <w:r>
              <w:rPr>
                <w:rFonts w:ascii="Times New Roman" w:hAnsi="Times New Roman"/>
                <w:b w:val="0"/>
                <w:i w:val="0"/>
                <w:sz w:val="16"/>
              </w:rPr>
              <w:t>5,862</w:t>
            </w:r>
          </w:p>
        </w:tc>
        <w:tc>
          <w:tcPr>
            <w:tcW w:type="dxa" w:w="1728"/>
          </w:tcPr>
          <w:p>
            <w:pPr>
              <w:spacing w:before="20" w:after="20" w:line="252" w:lineRule="auto"/>
              <w:jc w:val="center"/>
            </w:pPr>
            <w:r>
              <w:rPr>
                <w:rFonts w:ascii="Times New Roman" w:hAnsi="Times New Roman"/>
                <w:b w:val="0"/>
                <w:i w:val="0"/>
                <w:sz w:val="16"/>
              </w:rPr>
              <w:t>27.44%</w:t>
            </w:r>
          </w:p>
        </w:tc>
        <w:tc>
          <w:tcPr>
            <w:tcW w:type="dxa" w:w="1728"/>
          </w:tcPr>
          <w:p>
            <w:pPr>
              <w:spacing w:before="20" w:after="20" w:line="252" w:lineRule="auto"/>
              <w:jc w:val="center"/>
            </w:pPr>
            <w:r>
              <w:rPr>
                <w:rFonts w:ascii="Times New Roman" w:hAnsi="Times New Roman"/>
                <w:b w:val="0"/>
                <w:i w:val="0"/>
                <w:sz w:val="16"/>
              </w:rPr>
              <w:t>29.74%</w:t>
            </w:r>
          </w:p>
        </w:tc>
        <w:tc>
          <w:tcPr>
            <w:tcW w:type="dxa" w:w="1728"/>
          </w:tcPr>
          <w:p>
            <w:pPr>
              <w:spacing w:before="20" w:after="20" w:line="252" w:lineRule="auto"/>
              <w:jc w:val="center"/>
            </w:pPr>
            <w:r>
              <w:rPr>
                <w:rFonts w:ascii="Times New Roman" w:hAnsi="Times New Roman"/>
                <w:b w:val="0"/>
                <w:i w:val="0"/>
                <w:sz w:val="16"/>
              </w:rPr>
              <w:t>31.33%</w:t>
            </w:r>
          </w:p>
        </w:tc>
        <w:tc>
          <w:tcPr>
            <w:tcW w:type="dxa" w:w="1728"/>
          </w:tcPr>
          <w:p>
            <w:pPr>
              <w:spacing w:before="20" w:after="20" w:line="252" w:lineRule="auto"/>
              <w:jc w:val="center"/>
            </w:pPr>
            <w:r>
              <w:rPr>
                <w:rFonts w:ascii="Times New Roman" w:hAnsi="Times New Roman"/>
                <w:b w:val="0"/>
                <w:i w:val="0"/>
                <w:sz w:val="16"/>
              </w:rPr>
              <w:t>32.09%</w:t>
            </w:r>
          </w:p>
        </w:tc>
      </w:tr>
      <w:tr>
        <w:tc>
          <w:tcPr>
            <w:tcW w:type="dxa" w:w="1728"/>
          </w:tcPr>
          <w:p>
            <w:pPr>
              <w:spacing w:before="20" w:after="20" w:line="252" w:lineRule="auto"/>
              <w:jc w:val="left"/>
            </w:pPr>
            <w:r>
              <w:rPr>
                <w:rFonts w:ascii="Times New Roman" w:hAnsi="Times New Roman"/>
                <w:b w:val="0"/>
                <w:i w:val="0"/>
                <w:sz w:val="16"/>
              </w:rPr>
              <w:t>Fold 30 (23 Jul - 29 Jul)</w:t>
            </w:r>
          </w:p>
        </w:tc>
        <w:tc>
          <w:tcPr>
            <w:tcW w:type="dxa" w:w="1728"/>
          </w:tcPr>
          <w:p>
            <w:pPr>
              <w:spacing w:before="20" w:after="20" w:line="252" w:lineRule="auto"/>
              <w:jc w:val="center"/>
            </w:pPr>
            <w:r>
              <w:rPr>
                <w:rFonts w:ascii="Times New Roman" w:hAnsi="Times New Roman"/>
                <w:b w:val="0"/>
                <w:i w:val="0"/>
                <w:sz w:val="16"/>
              </w:rPr>
              <w:t>6,155</w:t>
            </w:r>
          </w:p>
        </w:tc>
        <w:tc>
          <w:tcPr>
            <w:tcW w:type="dxa" w:w="1728"/>
          </w:tcPr>
          <w:p>
            <w:pPr>
              <w:spacing w:before="20" w:after="20" w:line="252" w:lineRule="auto"/>
              <w:jc w:val="center"/>
            </w:pPr>
            <w:r>
              <w:rPr>
                <w:rFonts w:ascii="Times New Roman" w:hAnsi="Times New Roman"/>
                <w:b w:val="0"/>
                <w:i w:val="0"/>
                <w:sz w:val="16"/>
              </w:rPr>
              <w:t>30.40%</w:t>
            </w:r>
          </w:p>
        </w:tc>
        <w:tc>
          <w:tcPr>
            <w:tcW w:type="dxa" w:w="1728"/>
          </w:tcPr>
          <w:p>
            <w:pPr>
              <w:spacing w:before="20" w:after="20" w:line="252" w:lineRule="auto"/>
              <w:jc w:val="center"/>
            </w:pPr>
            <w:r>
              <w:rPr>
                <w:rFonts w:ascii="Times New Roman" w:hAnsi="Times New Roman"/>
                <w:b w:val="0"/>
                <w:i w:val="0"/>
                <w:sz w:val="16"/>
              </w:rPr>
              <w:t>29.41%</w:t>
            </w:r>
          </w:p>
        </w:tc>
        <w:tc>
          <w:tcPr>
            <w:tcW w:type="dxa" w:w="1728"/>
          </w:tcPr>
          <w:p>
            <w:pPr>
              <w:spacing w:before="20" w:after="20" w:line="252" w:lineRule="auto"/>
              <w:jc w:val="center"/>
            </w:pPr>
            <w:r>
              <w:rPr>
                <w:rFonts w:ascii="Times New Roman" w:hAnsi="Times New Roman"/>
                <w:b w:val="0"/>
                <w:i w:val="0"/>
                <w:sz w:val="16"/>
              </w:rPr>
              <w:t>28.52%</w:t>
            </w:r>
          </w:p>
        </w:tc>
        <w:tc>
          <w:tcPr>
            <w:tcW w:type="dxa" w:w="1728"/>
          </w:tcPr>
          <w:p>
            <w:pPr>
              <w:spacing w:before="20" w:after="20" w:line="252" w:lineRule="auto"/>
              <w:jc w:val="center"/>
            </w:pPr>
            <w:r>
              <w:rPr>
                <w:rFonts w:ascii="Times New Roman" w:hAnsi="Times New Roman"/>
                <w:b w:val="0"/>
                <w:i w:val="0"/>
                <w:sz w:val="16"/>
              </w:rPr>
              <w:t>29.43%</w:t>
            </w:r>
          </w:p>
        </w:tc>
      </w:tr>
      <w:tr>
        <w:tc>
          <w:tcPr>
            <w:tcW w:type="dxa" w:w="1728"/>
          </w:tcPr>
          <w:p>
            <w:pPr>
              <w:spacing w:before="20" w:after="20" w:line="252" w:lineRule="auto"/>
              <w:jc w:val="left"/>
            </w:pPr>
            <w:r>
              <w:rPr>
                <w:rFonts w:ascii="Times New Roman" w:hAnsi="Times New Roman"/>
                <w:b w:val="0"/>
                <w:i w:val="0"/>
                <w:sz w:val="16"/>
              </w:rPr>
              <w:t>Fold 31 (30 Jul - 05 Aug)</w:t>
            </w:r>
          </w:p>
        </w:tc>
        <w:tc>
          <w:tcPr>
            <w:tcW w:type="dxa" w:w="1728"/>
          </w:tcPr>
          <w:p>
            <w:pPr>
              <w:spacing w:before="20" w:after="20" w:line="252" w:lineRule="auto"/>
              <w:jc w:val="center"/>
            </w:pPr>
            <w:r>
              <w:rPr>
                <w:rFonts w:ascii="Times New Roman" w:hAnsi="Times New Roman"/>
                <w:b w:val="0"/>
                <w:i w:val="0"/>
                <w:sz w:val="16"/>
              </w:rPr>
              <w:t>6,647</w:t>
            </w:r>
          </w:p>
        </w:tc>
        <w:tc>
          <w:tcPr>
            <w:tcW w:type="dxa" w:w="1728"/>
          </w:tcPr>
          <w:p>
            <w:pPr>
              <w:spacing w:before="20" w:after="20" w:line="252" w:lineRule="auto"/>
              <w:jc w:val="center"/>
            </w:pPr>
            <w:r>
              <w:rPr>
                <w:rFonts w:ascii="Times New Roman" w:hAnsi="Times New Roman"/>
                <w:b w:val="0"/>
                <w:i w:val="0"/>
                <w:sz w:val="16"/>
              </w:rPr>
              <w:t>28.02%</w:t>
            </w:r>
          </w:p>
        </w:tc>
        <w:tc>
          <w:tcPr>
            <w:tcW w:type="dxa" w:w="1728"/>
          </w:tcPr>
          <w:p>
            <w:pPr>
              <w:spacing w:before="20" w:after="20" w:line="252" w:lineRule="auto"/>
              <w:jc w:val="center"/>
            </w:pPr>
            <w:r>
              <w:rPr>
                <w:rFonts w:ascii="Times New Roman" w:hAnsi="Times New Roman"/>
                <w:b w:val="0"/>
                <w:i w:val="0"/>
                <w:sz w:val="16"/>
              </w:rPr>
              <w:t>29.62%</w:t>
            </w:r>
          </w:p>
        </w:tc>
        <w:tc>
          <w:tcPr>
            <w:tcW w:type="dxa" w:w="1728"/>
          </w:tcPr>
          <w:p>
            <w:pPr>
              <w:spacing w:before="20" w:after="20" w:line="252" w:lineRule="auto"/>
              <w:jc w:val="center"/>
            </w:pPr>
            <w:r>
              <w:rPr>
                <w:rFonts w:ascii="Times New Roman" w:hAnsi="Times New Roman"/>
                <w:b w:val="0"/>
                <w:i w:val="0"/>
                <w:sz w:val="16"/>
              </w:rPr>
              <w:t>30.86%</w:t>
            </w:r>
          </w:p>
        </w:tc>
        <w:tc>
          <w:tcPr>
            <w:tcW w:type="dxa" w:w="1728"/>
          </w:tcPr>
          <w:p>
            <w:pPr>
              <w:spacing w:before="20" w:after="20" w:line="252" w:lineRule="auto"/>
              <w:jc w:val="center"/>
            </w:pPr>
            <w:r>
              <w:rPr>
                <w:rFonts w:ascii="Times New Roman" w:hAnsi="Times New Roman"/>
                <w:b w:val="0"/>
                <w:i w:val="0"/>
                <w:sz w:val="16"/>
              </w:rPr>
              <w:t>30.71%</w:t>
            </w:r>
          </w:p>
        </w:tc>
      </w:tr>
      <w:tr>
        <w:tc>
          <w:tcPr>
            <w:tcW w:type="dxa" w:w="1728"/>
          </w:tcPr>
          <w:p>
            <w:pPr>
              <w:spacing w:before="20" w:after="20" w:line="252" w:lineRule="auto"/>
              <w:jc w:val="left"/>
            </w:pPr>
            <w:r>
              <w:rPr>
                <w:rFonts w:ascii="Times New Roman" w:hAnsi="Times New Roman"/>
                <w:b w:val="0"/>
                <w:i w:val="0"/>
                <w:sz w:val="16"/>
              </w:rPr>
              <w:t>Fold 32 (06 Aug - 12 Aug)</w:t>
            </w:r>
          </w:p>
        </w:tc>
        <w:tc>
          <w:tcPr>
            <w:tcW w:type="dxa" w:w="1728"/>
          </w:tcPr>
          <w:p>
            <w:pPr>
              <w:spacing w:before="20" w:after="20" w:line="252" w:lineRule="auto"/>
              <w:jc w:val="center"/>
            </w:pPr>
            <w:r>
              <w:rPr>
                <w:rFonts w:ascii="Times New Roman" w:hAnsi="Times New Roman"/>
                <w:b w:val="0"/>
                <w:i w:val="0"/>
                <w:sz w:val="16"/>
              </w:rPr>
              <w:t>7,002</w:t>
            </w:r>
          </w:p>
        </w:tc>
        <w:tc>
          <w:tcPr>
            <w:tcW w:type="dxa" w:w="1728"/>
          </w:tcPr>
          <w:p>
            <w:pPr>
              <w:spacing w:before="20" w:after="20" w:line="252" w:lineRule="auto"/>
              <w:jc w:val="center"/>
            </w:pPr>
            <w:r>
              <w:rPr>
                <w:rFonts w:ascii="Times New Roman" w:hAnsi="Times New Roman"/>
                <w:b w:val="0"/>
                <w:i w:val="0"/>
                <w:sz w:val="16"/>
              </w:rPr>
              <w:t>30.93%</w:t>
            </w:r>
          </w:p>
        </w:tc>
        <w:tc>
          <w:tcPr>
            <w:tcW w:type="dxa" w:w="1728"/>
          </w:tcPr>
          <w:p>
            <w:pPr>
              <w:spacing w:before="20" w:after="20" w:line="252" w:lineRule="auto"/>
              <w:jc w:val="center"/>
            </w:pPr>
            <w:r>
              <w:rPr>
                <w:rFonts w:ascii="Times New Roman" w:hAnsi="Times New Roman"/>
                <w:b w:val="0"/>
                <w:i w:val="0"/>
                <w:sz w:val="16"/>
              </w:rPr>
              <w:t>32.89%</w:t>
            </w:r>
          </w:p>
        </w:tc>
        <w:tc>
          <w:tcPr>
            <w:tcW w:type="dxa" w:w="1728"/>
          </w:tcPr>
          <w:p>
            <w:pPr>
              <w:spacing w:before="20" w:after="20" w:line="252" w:lineRule="auto"/>
              <w:jc w:val="center"/>
            </w:pPr>
            <w:r>
              <w:rPr>
                <w:rFonts w:ascii="Times New Roman" w:hAnsi="Times New Roman"/>
                <w:b w:val="0"/>
                <w:i w:val="0"/>
                <w:sz w:val="16"/>
              </w:rPr>
              <w:t>33.20%</w:t>
            </w:r>
          </w:p>
        </w:tc>
        <w:tc>
          <w:tcPr>
            <w:tcW w:type="dxa" w:w="1728"/>
          </w:tcPr>
          <w:p>
            <w:pPr>
              <w:spacing w:before="20" w:after="20" w:line="252" w:lineRule="auto"/>
              <w:jc w:val="center"/>
            </w:pPr>
            <w:r>
              <w:rPr>
                <w:rFonts w:ascii="Times New Roman" w:hAnsi="Times New Roman"/>
                <w:b w:val="0"/>
                <w:i w:val="0"/>
                <w:sz w:val="16"/>
              </w:rPr>
              <w:t>32.74%</w:t>
            </w:r>
          </w:p>
        </w:tc>
      </w:tr>
      <w:tr>
        <w:tc>
          <w:tcPr>
            <w:tcW w:type="dxa" w:w="1728"/>
          </w:tcPr>
          <w:p>
            <w:pPr>
              <w:spacing w:before="20" w:after="20" w:line="252" w:lineRule="auto"/>
              <w:jc w:val="left"/>
            </w:pPr>
            <w:r>
              <w:rPr>
                <w:rFonts w:ascii="Times New Roman" w:hAnsi="Times New Roman"/>
                <w:b w:val="0"/>
                <w:i w:val="0"/>
                <w:sz w:val="16"/>
              </w:rPr>
              <w:t>Fold 33 (13 Aug - 19 Aug)</w:t>
            </w:r>
          </w:p>
        </w:tc>
        <w:tc>
          <w:tcPr>
            <w:tcW w:type="dxa" w:w="1728"/>
          </w:tcPr>
          <w:p>
            <w:pPr>
              <w:spacing w:before="20" w:after="20" w:line="252" w:lineRule="auto"/>
              <w:jc w:val="center"/>
            </w:pPr>
            <w:r>
              <w:rPr>
                <w:rFonts w:ascii="Times New Roman" w:hAnsi="Times New Roman"/>
                <w:b w:val="0"/>
                <w:i w:val="0"/>
                <w:sz w:val="16"/>
              </w:rPr>
              <w:t>6,076</w:t>
            </w:r>
          </w:p>
        </w:tc>
        <w:tc>
          <w:tcPr>
            <w:tcW w:type="dxa" w:w="1728"/>
          </w:tcPr>
          <w:p>
            <w:pPr>
              <w:spacing w:before="20" w:after="20" w:line="252" w:lineRule="auto"/>
              <w:jc w:val="center"/>
            </w:pPr>
            <w:r>
              <w:rPr>
                <w:rFonts w:ascii="Times New Roman" w:hAnsi="Times New Roman"/>
                <w:b w:val="0"/>
                <w:i w:val="0"/>
                <w:sz w:val="16"/>
              </w:rPr>
              <w:t>32.48%</w:t>
            </w:r>
          </w:p>
        </w:tc>
        <w:tc>
          <w:tcPr>
            <w:tcW w:type="dxa" w:w="1728"/>
          </w:tcPr>
          <w:p>
            <w:pPr>
              <w:spacing w:before="20" w:after="20" w:line="252" w:lineRule="auto"/>
              <w:jc w:val="center"/>
            </w:pPr>
            <w:r>
              <w:rPr>
                <w:rFonts w:ascii="Times New Roman" w:hAnsi="Times New Roman"/>
                <w:b w:val="0"/>
                <w:i w:val="0"/>
                <w:sz w:val="16"/>
              </w:rPr>
              <w:t>31.17%</w:t>
            </w:r>
          </w:p>
        </w:tc>
        <w:tc>
          <w:tcPr>
            <w:tcW w:type="dxa" w:w="1728"/>
          </w:tcPr>
          <w:p>
            <w:pPr>
              <w:spacing w:before="20" w:after="20" w:line="252" w:lineRule="auto"/>
              <w:jc w:val="center"/>
            </w:pPr>
            <w:r>
              <w:rPr>
                <w:rFonts w:ascii="Times New Roman" w:hAnsi="Times New Roman"/>
                <w:b w:val="0"/>
                <w:i w:val="0"/>
                <w:sz w:val="16"/>
              </w:rPr>
              <w:t>28.62%</w:t>
            </w:r>
          </w:p>
        </w:tc>
        <w:tc>
          <w:tcPr>
            <w:tcW w:type="dxa" w:w="1728"/>
          </w:tcPr>
          <w:p>
            <w:pPr>
              <w:spacing w:before="20" w:after="20" w:line="252" w:lineRule="auto"/>
              <w:jc w:val="center"/>
            </w:pPr>
            <w:r>
              <w:rPr>
                <w:rFonts w:ascii="Times New Roman" w:hAnsi="Times New Roman"/>
                <w:b w:val="0"/>
                <w:i w:val="0"/>
                <w:sz w:val="16"/>
              </w:rPr>
              <w:t>29.62%</w:t>
            </w:r>
          </w:p>
        </w:tc>
      </w:tr>
      <w:tr>
        <w:tc>
          <w:tcPr>
            <w:tcW w:type="dxa" w:w="1728"/>
          </w:tcPr>
          <w:p>
            <w:pPr>
              <w:spacing w:before="20" w:after="20" w:line="252" w:lineRule="auto"/>
              <w:jc w:val="left"/>
            </w:pPr>
            <w:r>
              <w:rPr>
                <w:rFonts w:ascii="Times New Roman" w:hAnsi="Times New Roman"/>
                <w:b w:val="0"/>
                <w:i w:val="0"/>
                <w:sz w:val="16"/>
              </w:rPr>
              <w:t>Fold 34 (20 Aug - 26 Aug)</w:t>
            </w:r>
          </w:p>
        </w:tc>
        <w:tc>
          <w:tcPr>
            <w:tcW w:type="dxa" w:w="1728"/>
          </w:tcPr>
          <w:p>
            <w:pPr>
              <w:spacing w:before="20" w:after="20" w:line="252" w:lineRule="auto"/>
              <w:jc w:val="center"/>
            </w:pPr>
            <w:r>
              <w:rPr>
                <w:rFonts w:ascii="Times New Roman" w:hAnsi="Times New Roman"/>
                <w:b w:val="0"/>
                <w:i w:val="0"/>
                <w:sz w:val="16"/>
              </w:rPr>
              <w:t>5,187</w:t>
            </w:r>
          </w:p>
        </w:tc>
        <w:tc>
          <w:tcPr>
            <w:tcW w:type="dxa" w:w="1728"/>
          </w:tcPr>
          <w:p>
            <w:pPr>
              <w:spacing w:before="20" w:after="20" w:line="252" w:lineRule="auto"/>
              <w:jc w:val="center"/>
            </w:pPr>
            <w:r>
              <w:rPr>
                <w:rFonts w:ascii="Times New Roman" w:hAnsi="Times New Roman"/>
                <w:b w:val="0"/>
                <w:i w:val="0"/>
                <w:sz w:val="16"/>
              </w:rPr>
              <w:t>31.54%</w:t>
            </w:r>
          </w:p>
        </w:tc>
        <w:tc>
          <w:tcPr>
            <w:tcW w:type="dxa" w:w="1728"/>
          </w:tcPr>
          <w:p>
            <w:pPr>
              <w:spacing w:before="20" w:after="20" w:line="252" w:lineRule="auto"/>
              <w:jc w:val="center"/>
            </w:pPr>
            <w:r>
              <w:rPr>
                <w:rFonts w:ascii="Times New Roman" w:hAnsi="Times New Roman"/>
                <w:b w:val="0"/>
                <w:i w:val="0"/>
                <w:sz w:val="16"/>
              </w:rPr>
              <w:t>29.56%</w:t>
            </w:r>
          </w:p>
        </w:tc>
        <w:tc>
          <w:tcPr>
            <w:tcW w:type="dxa" w:w="1728"/>
          </w:tcPr>
          <w:p>
            <w:pPr>
              <w:spacing w:before="20" w:after="20" w:line="252" w:lineRule="auto"/>
              <w:jc w:val="center"/>
            </w:pPr>
            <w:r>
              <w:rPr>
                <w:rFonts w:ascii="Times New Roman" w:hAnsi="Times New Roman"/>
                <w:b w:val="0"/>
                <w:i w:val="0"/>
                <w:sz w:val="16"/>
              </w:rPr>
              <w:t>29.79%</w:t>
            </w:r>
          </w:p>
        </w:tc>
        <w:tc>
          <w:tcPr>
            <w:tcW w:type="dxa" w:w="1728"/>
          </w:tcPr>
          <w:p>
            <w:pPr>
              <w:spacing w:before="20" w:after="20" w:line="252" w:lineRule="auto"/>
              <w:jc w:val="center"/>
            </w:pPr>
            <w:r>
              <w:rPr>
                <w:rFonts w:ascii="Times New Roman" w:hAnsi="Times New Roman"/>
                <w:b w:val="0"/>
                <w:i w:val="0"/>
                <w:sz w:val="16"/>
              </w:rPr>
              <w:t>29.60%</w:t>
            </w:r>
          </w:p>
        </w:tc>
      </w:tr>
      <w:tr>
        <w:tc>
          <w:tcPr>
            <w:tcW w:type="dxa" w:w="1728"/>
          </w:tcPr>
          <w:p>
            <w:pPr>
              <w:spacing w:before="20" w:after="20" w:line="252" w:lineRule="auto"/>
              <w:jc w:val="left"/>
            </w:pPr>
            <w:r>
              <w:rPr>
                <w:rFonts w:ascii="Times New Roman" w:hAnsi="Times New Roman"/>
                <w:b w:val="0"/>
                <w:i w:val="0"/>
                <w:sz w:val="16"/>
              </w:rPr>
              <w:t>Pooled Summer Stress Total</w:t>
            </w:r>
          </w:p>
        </w:tc>
        <w:tc>
          <w:tcPr>
            <w:tcW w:type="dxa" w:w="1728"/>
          </w:tcPr>
          <w:p>
            <w:pPr>
              <w:spacing w:before="20" w:after="20" w:line="252" w:lineRule="auto"/>
              <w:jc w:val="center"/>
            </w:pPr>
            <w:r>
              <w:rPr>
                <w:rFonts w:ascii="Times New Roman" w:hAnsi="Times New Roman"/>
                <w:b w:val="0"/>
                <w:i w:val="0"/>
                <w:sz w:val="16"/>
              </w:rPr>
              <w:t>36,929 Units</w:t>
            </w:r>
          </w:p>
        </w:tc>
        <w:tc>
          <w:tcPr>
            <w:tcW w:type="dxa" w:w="1728"/>
          </w:tcPr>
          <w:p>
            <w:pPr>
              <w:spacing w:before="20" w:after="20" w:line="252" w:lineRule="auto"/>
              <w:jc w:val="center"/>
            </w:pPr>
            <w:r>
              <w:rPr>
                <w:rFonts w:ascii="Times New Roman" w:hAnsi="Times New Roman"/>
                <w:b w:val="0"/>
                <w:i w:val="0"/>
                <w:sz w:val="16"/>
              </w:rPr>
              <w:t>30.13%</w:t>
            </w:r>
          </w:p>
        </w:tc>
        <w:tc>
          <w:tcPr>
            <w:tcW w:type="dxa" w:w="1728"/>
          </w:tcPr>
          <w:p>
            <w:pPr>
              <w:spacing w:before="20" w:after="20" w:line="252" w:lineRule="auto"/>
              <w:jc w:val="center"/>
            </w:pPr>
            <w:r>
              <w:rPr>
                <w:rFonts w:ascii="Times New Roman" w:hAnsi="Times New Roman"/>
                <w:b w:val="0"/>
                <w:i w:val="0"/>
                <w:sz w:val="16"/>
              </w:rPr>
              <w:t>30.40%</w:t>
            </w:r>
          </w:p>
        </w:tc>
        <w:tc>
          <w:tcPr>
            <w:tcW w:type="dxa" w:w="1728"/>
          </w:tcPr>
          <w:p>
            <w:pPr>
              <w:spacing w:before="20" w:after="20" w:line="252" w:lineRule="auto"/>
              <w:jc w:val="center"/>
            </w:pPr>
            <w:r>
              <w:rPr>
                <w:rFonts w:ascii="Times New Roman" w:hAnsi="Times New Roman"/>
                <w:b w:val="0"/>
                <w:i w:val="0"/>
                <w:sz w:val="16"/>
              </w:rPr>
              <w:t>30.39%</w:t>
            </w:r>
          </w:p>
        </w:tc>
        <w:tc>
          <w:tcPr>
            <w:tcW w:type="dxa" w:w="1728"/>
          </w:tcPr>
          <w:p>
            <w:pPr>
              <w:spacing w:before="20" w:after="20" w:line="252" w:lineRule="auto"/>
              <w:jc w:val="center"/>
            </w:pPr>
            <w:r>
              <w:rPr>
                <w:rFonts w:ascii="Times New Roman" w:hAnsi="Times New Roman"/>
                <w:b w:val="0"/>
                <w:i w:val="0"/>
                <w:sz w:val="16"/>
              </w:rPr>
              <w:t>30.70%</w:t>
            </w:r>
          </w:p>
        </w:tc>
      </w:tr>
    </w:tbl>
    <w:p>
      <w:pPr>
        <w:spacing w:before="0" w:after="80" w:line="252" w:lineRule="auto"/>
        <w:jc w:val="left"/>
      </w:pPr>
    </w:p>
    <w:p>
      <w:pPr>
        <w:spacing w:before="0" w:after="80" w:line="252" w:lineRule="auto"/>
        <w:jc w:val="both"/>
      </w:pPr>
      <w:r>
        <w:rPr>
          <w:rFonts w:ascii="Times New Roman" w:hAnsi="Times New Roman"/>
          <w:b w:val="0"/>
          <w:i w:val="0"/>
          <w:sz w:val="20"/>
        </w:rPr>
        <w:t>Table III demonstrates that while classical 4-week same-weekday averages deteriorated to 39.31% WAPE during summer surges, the feature-stacked Hybrid (30.13%) and Prophet (30.40%) demonstrated superior stability, tracking rapid demand inflections without divergence.</w:t>
      </w:r>
    </w:p>
    <w:p>
      <w:pPr>
        <w:spacing w:before="120" w:after="40" w:line="252" w:lineRule="auto"/>
        <w:jc w:val="left"/>
      </w:pPr>
      <w:r>
        <w:rPr>
          <w:rFonts w:ascii="Times New Roman" w:hAnsi="Times New Roman"/>
          <w:b/>
          <w:i/>
          <w:sz w:val="20"/>
        </w:rPr>
        <w:t>C.  Economic Inventory Simulation and Spoilage Reduction</w:t>
      </w:r>
    </w:p>
    <w:p>
      <w:pPr>
        <w:spacing w:before="0" w:after="80" w:line="252" w:lineRule="auto"/>
        <w:jc w:val="both"/>
      </w:pPr>
      <w:r>
        <w:rPr>
          <w:rFonts w:ascii="Times New Roman" w:hAnsi="Times New Roman"/>
          <w:b w:val="0"/>
          <w:i w:val="0"/>
          <w:sz w:val="20"/>
        </w:rPr>
        <w:t>An end-to-end inventory simulation was conducted over 88 out-of-sample backtest days across all 35 SKUs (68,883 total units demanded). Ordering policies were evaluated under standard 40% COGS: (1) Rigid 95% Cycle Service Level (z = +1.65); and (2) Asymmetric Newsvendor Critical Ratio (z* = +0.2533).</w:t>
      </w:r>
    </w:p>
    <w:p>
      <w:pPr>
        <w:spacing w:before="160" w:after="60" w:line="252" w:lineRule="auto"/>
        <w:jc w:val="center"/>
      </w:pPr>
      <w:r>
        <w:rPr>
          <w:rFonts w:ascii="Times New Roman" w:hAnsi="Times New Roman"/>
          <w:b/>
          <w:i w:val="0"/>
          <w:sz w:val="17"/>
        </w:rPr>
        <w:t>TABLE IV: ECONOMIC INVENTORY OPTIMIZATION AND SPOILAGE SIMULATION (88 DAYS, 35 SKUS)</w:t>
      </w:r>
    </w:p>
    <w:tbl>
      <w:tblPr>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tcPr>
          <w:p>
            <w:pPr>
              <w:spacing w:before="20" w:after="20" w:line="252" w:lineRule="auto"/>
              <w:jc w:val="center"/>
            </w:pPr>
            <w:r>
              <w:rPr>
                <w:rFonts w:ascii="Times New Roman" w:hAnsi="Times New Roman"/>
                <w:b/>
                <w:i w:val="0"/>
                <w:sz w:val="16"/>
              </w:rPr>
              <w:t>Ordering Policy &amp; Model Variant</w:t>
            </w:r>
          </w:p>
        </w:tc>
        <w:tc>
          <w:tcPr>
            <w:tcW w:type="dxa" w:w="1728"/>
          </w:tcPr>
          <w:p>
            <w:pPr>
              <w:spacing w:before="20" w:after="20" w:line="252" w:lineRule="auto"/>
              <w:jc w:val="center"/>
            </w:pPr>
            <w:r>
              <w:rPr>
                <w:rFonts w:ascii="Times New Roman" w:hAnsi="Times New Roman"/>
                <w:b/>
                <w:i w:val="0"/>
                <w:sz w:val="16"/>
              </w:rPr>
              <w:t>Units Baked</w:t>
            </w:r>
          </w:p>
        </w:tc>
        <w:tc>
          <w:tcPr>
            <w:tcW w:type="dxa" w:w="1728"/>
          </w:tcPr>
          <w:p>
            <w:pPr>
              <w:spacing w:before="20" w:after="20" w:line="252" w:lineRule="auto"/>
              <w:jc w:val="center"/>
            </w:pPr>
            <w:r>
              <w:rPr>
                <w:rFonts w:ascii="Times New Roman" w:hAnsi="Times New Roman"/>
                <w:b/>
                <w:i w:val="0"/>
                <w:sz w:val="16"/>
              </w:rPr>
              <w:t>Units Sold</w:t>
            </w:r>
          </w:p>
        </w:tc>
        <w:tc>
          <w:tcPr>
            <w:tcW w:type="dxa" w:w="1728"/>
          </w:tcPr>
          <w:p>
            <w:pPr>
              <w:spacing w:before="20" w:after="20" w:line="252" w:lineRule="auto"/>
              <w:jc w:val="center"/>
            </w:pPr>
            <w:r>
              <w:rPr>
                <w:rFonts w:ascii="Times New Roman" w:hAnsi="Times New Roman"/>
                <w:b/>
                <w:i w:val="0"/>
                <w:sz w:val="16"/>
              </w:rPr>
              <w:t>Waste Rate (%)</w:t>
            </w:r>
          </w:p>
        </w:tc>
        <w:tc>
          <w:tcPr>
            <w:tcW w:type="dxa" w:w="1728"/>
          </w:tcPr>
          <w:p>
            <w:pPr>
              <w:spacing w:before="20" w:after="20" w:line="252" w:lineRule="auto"/>
              <w:jc w:val="center"/>
            </w:pPr>
            <w:r>
              <w:rPr>
                <w:rFonts w:ascii="Times New Roman" w:hAnsi="Times New Roman"/>
                <w:b/>
                <w:i w:val="0"/>
                <w:sz w:val="16"/>
              </w:rPr>
              <w:t>Net Profit (€)</w:t>
            </w:r>
          </w:p>
        </w:tc>
        <w:tc>
          <w:tcPr>
            <w:tcW w:type="dxa" w:w="1728"/>
          </w:tcPr>
          <w:p>
            <w:pPr>
              <w:spacing w:before="20" w:after="20" w:line="252" w:lineRule="auto"/>
              <w:jc w:val="center"/>
            </w:pPr>
            <w:r>
              <w:rPr>
                <w:rFonts w:ascii="Times New Roman" w:hAnsi="Times New Roman"/>
                <w:b/>
                <w:i w:val="0"/>
                <w:sz w:val="16"/>
              </w:rPr>
              <w:t>Food Waste Delta</w:t>
            </w:r>
          </w:p>
        </w:tc>
      </w:tr>
      <w:tr>
        <w:tc>
          <w:tcPr>
            <w:tcW w:type="dxa" w:w="1728"/>
          </w:tcPr>
          <w:p>
            <w:pPr>
              <w:spacing w:before="20" w:after="20" w:line="252" w:lineRule="auto"/>
              <w:jc w:val="left"/>
            </w:pPr>
            <w:r>
              <w:rPr>
                <w:rFonts w:ascii="Times New Roman" w:hAnsi="Times New Roman"/>
                <w:b w:val="0"/>
                <w:i w:val="0"/>
                <w:sz w:val="16"/>
              </w:rPr>
              <w:t>Prophet + High-Service (z = +1.65)</w:t>
            </w:r>
          </w:p>
        </w:tc>
        <w:tc>
          <w:tcPr>
            <w:tcW w:type="dxa" w:w="1728"/>
          </w:tcPr>
          <w:p>
            <w:pPr>
              <w:spacing w:before="20" w:after="20" w:line="252" w:lineRule="auto"/>
              <w:jc w:val="center"/>
            </w:pPr>
            <w:r>
              <w:rPr>
                <w:rFonts w:ascii="Times New Roman" w:hAnsi="Times New Roman"/>
                <w:b w:val="0"/>
                <w:i w:val="0"/>
                <w:sz w:val="16"/>
              </w:rPr>
              <w:t>89,848</w:t>
            </w:r>
          </w:p>
        </w:tc>
        <w:tc>
          <w:tcPr>
            <w:tcW w:type="dxa" w:w="1728"/>
          </w:tcPr>
          <w:p>
            <w:pPr>
              <w:spacing w:before="20" w:after="20" w:line="252" w:lineRule="auto"/>
              <w:jc w:val="center"/>
            </w:pPr>
            <w:r>
              <w:rPr>
                <w:rFonts w:ascii="Times New Roman" w:hAnsi="Times New Roman"/>
                <w:b w:val="0"/>
                <w:i w:val="0"/>
                <w:sz w:val="16"/>
              </w:rPr>
              <w:t>64,302</w:t>
            </w:r>
          </w:p>
        </w:tc>
        <w:tc>
          <w:tcPr>
            <w:tcW w:type="dxa" w:w="1728"/>
          </w:tcPr>
          <w:p>
            <w:pPr>
              <w:spacing w:before="20" w:after="20" w:line="252" w:lineRule="auto"/>
              <w:jc w:val="center"/>
            </w:pPr>
            <w:r>
              <w:rPr>
                <w:rFonts w:ascii="Times New Roman" w:hAnsi="Times New Roman"/>
                <w:b w:val="0"/>
                <w:i w:val="0"/>
                <w:sz w:val="16"/>
              </w:rPr>
              <w:t>28.4%</w:t>
            </w:r>
          </w:p>
        </w:tc>
        <w:tc>
          <w:tcPr>
            <w:tcW w:type="dxa" w:w="1728"/>
          </w:tcPr>
          <w:p>
            <w:pPr>
              <w:spacing w:before="20" w:after="20" w:line="252" w:lineRule="auto"/>
              <w:jc w:val="center"/>
            </w:pPr>
            <w:r>
              <w:rPr>
                <w:rFonts w:ascii="Times New Roman" w:hAnsi="Times New Roman"/>
                <w:b w:val="0"/>
                <w:i w:val="0"/>
                <w:sz w:val="16"/>
              </w:rPr>
              <w:t>€36,543.83</w:t>
            </w:r>
          </w:p>
        </w:tc>
        <w:tc>
          <w:tcPr>
            <w:tcW w:type="dxa" w:w="1728"/>
          </w:tcPr>
          <w:p>
            <w:pPr>
              <w:spacing w:before="20" w:after="20" w:line="252" w:lineRule="auto"/>
              <w:jc w:val="center"/>
            </w:pPr>
            <w:r>
              <w:rPr>
                <w:rFonts w:ascii="Times New Roman" w:hAnsi="Times New Roman"/>
                <w:b w:val="0"/>
                <w:i w:val="0"/>
                <w:sz w:val="16"/>
              </w:rPr>
              <w:t>Baseline Waste (25,546 units)</w:t>
            </w:r>
          </w:p>
        </w:tc>
      </w:tr>
      <w:tr>
        <w:tc>
          <w:tcPr>
            <w:tcW w:type="dxa" w:w="1728"/>
          </w:tcPr>
          <w:p>
            <w:pPr>
              <w:spacing w:before="20" w:after="20" w:line="252" w:lineRule="auto"/>
              <w:jc w:val="left"/>
            </w:pPr>
            <w:r>
              <w:rPr>
                <w:rFonts w:ascii="Times New Roman" w:hAnsi="Times New Roman"/>
                <w:b w:val="0"/>
                <w:i w:val="0"/>
                <w:sz w:val="16"/>
              </w:rPr>
              <w:t>Hybrid + High-Service (z = +1.65)</w:t>
            </w:r>
          </w:p>
        </w:tc>
        <w:tc>
          <w:tcPr>
            <w:tcW w:type="dxa" w:w="1728"/>
          </w:tcPr>
          <w:p>
            <w:pPr>
              <w:spacing w:before="20" w:after="20" w:line="252" w:lineRule="auto"/>
              <w:jc w:val="center"/>
            </w:pPr>
            <w:r>
              <w:rPr>
                <w:rFonts w:ascii="Times New Roman" w:hAnsi="Times New Roman"/>
                <w:b w:val="0"/>
                <w:i w:val="0"/>
                <w:sz w:val="16"/>
              </w:rPr>
              <w:t>87,705</w:t>
            </w:r>
          </w:p>
        </w:tc>
        <w:tc>
          <w:tcPr>
            <w:tcW w:type="dxa" w:w="1728"/>
          </w:tcPr>
          <w:p>
            <w:pPr>
              <w:spacing w:before="20" w:after="20" w:line="252" w:lineRule="auto"/>
              <w:jc w:val="center"/>
            </w:pPr>
            <w:r>
              <w:rPr>
                <w:rFonts w:ascii="Times New Roman" w:hAnsi="Times New Roman"/>
                <w:b w:val="0"/>
                <w:i w:val="0"/>
                <w:sz w:val="16"/>
              </w:rPr>
              <w:t>64,258</w:t>
            </w:r>
          </w:p>
        </w:tc>
        <w:tc>
          <w:tcPr>
            <w:tcW w:type="dxa" w:w="1728"/>
          </w:tcPr>
          <w:p>
            <w:pPr>
              <w:spacing w:before="20" w:after="20" w:line="252" w:lineRule="auto"/>
              <w:jc w:val="center"/>
            </w:pPr>
            <w:r>
              <w:rPr>
                <w:rFonts w:ascii="Times New Roman" w:hAnsi="Times New Roman"/>
                <w:b w:val="0"/>
                <w:i w:val="0"/>
                <w:sz w:val="16"/>
              </w:rPr>
              <w:t>26.7%</w:t>
            </w:r>
          </w:p>
        </w:tc>
        <w:tc>
          <w:tcPr>
            <w:tcW w:type="dxa" w:w="1728"/>
          </w:tcPr>
          <w:p>
            <w:pPr>
              <w:spacing w:before="20" w:after="20" w:line="252" w:lineRule="auto"/>
              <w:jc w:val="center"/>
            </w:pPr>
            <w:r>
              <w:rPr>
                <w:rFonts w:ascii="Times New Roman" w:hAnsi="Times New Roman"/>
                <w:b w:val="0"/>
                <w:i w:val="0"/>
                <w:sz w:val="16"/>
              </w:rPr>
              <w:t>€37,858.74</w:t>
            </w:r>
          </w:p>
        </w:tc>
        <w:tc>
          <w:tcPr>
            <w:tcW w:type="dxa" w:w="1728"/>
          </w:tcPr>
          <w:p>
            <w:pPr>
              <w:spacing w:before="20" w:after="20" w:line="252" w:lineRule="auto"/>
              <w:jc w:val="center"/>
            </w:pPr>
            <w:r>
              <w:rPr>
                <w:rFonts w:ascii="Times New Roman" w:hAnsi="Times New Roman"/>
                <w:b w:val="0"/>
                <w:i w:val="0"/>
                <w:sz w:val="16"/>
              </w:rPr>
              <w:t>-2,099 units (-8.2%)</w:t>
            </w:r>
          </w:p>
        </w:tc>
      </w:tr>
      <w:tr>
        <w:tc>
          <w:tcPr>
            <w:tcW w:type="dxa" w:w="1728"/>
          </w:tcPr>
          <w:p>
            <w:pPr>
              <w:spacing w:before="20" w:after="20" w:line="252" w:lineRule="auto"/>
              <w:jc w:val="left"/>
            </w:pPr>
            <w:r>
              <w:rPr>
                <w:rFonts w:ascii="Times New Roman" w:hAnsi="Times New Roman"/>
                <w:b w:val="0"/>
                <w:i w:val="0"/>
                <w:sz w:val="16"/>
              </w:rPr>
              <w:t>Hybrid + Newsvendor (z = +0.2533)</w:t>
            </w:r>
          </w:p>
        </w:tc>
        <w:tc>
          <w:tcPr>
            <w:tcW w:type="dxa" w:w="1728"/>
          </w:tcPr>
          <w:p>
            <w:pPr>
              <w:spacing w:before="20" w:after="20" w:line="252" w:lineRule="auto"/>
              <w:jc w:val="center"/>
            </w:pPr>
            <w:r>
              <w:rPr>
                <w:rFonts w:ascii="Times New Roman" w:hAnsi="Times New Roman"/>
                <w:b w:val="0"/>
                <w:i w:val="0"/>
                <w:sz w:val="16"/>
              </w:rPr>
              <w:t>70,551</w:t>
            </w:r>
          </w:p>
        </w:tc>
        <w:tc>
          <w:tcPr>
            <w:tcW w:type="dxa" w:w="1728"/>
          </w:tcPr>
          <w:p>
            <w:pPr>
              <w:spacing w:before="20" w:after="20" w:line="252" w:lineRule="auto"/>
              <w:jc w:val="center"/>
            </w:pPr>
            <w:r>
              <w:rPr>
                <w:rFonts w:ascii="Times New Roman" w:hAnsi="Times New Roman"/>
                <w:b w:val="0"/>
                <w:i w:val="0"/>
                <w:sz w:val="16"/>
              </w:rPr>
              <w:t>62,658</w:t>
            </w:r>
          </w:p>
        </w:tc>
        <w:tc>
          <w:tcPr>
            <w:tcW w:type="dxa" w:w="1728"/>
          </w:tcPr>
          <w:p>
            <w:pPr>
              <w:spacing w:before="20" w:after="20" w:line="252" w:lineRule="auto"/>
              <w:jc w:val="center"/>
            </w:pPr>
            <w:r>
              <w:rPr>
                <w:rFonts w:ascii="Times New Roman" w:hAnsi="Times New Roman"/>
                <w:b w:val="0"/>
                <w:i w:val="0"/>
                <w:sz w:val="16"/>
              </w:rPr>
              <w:t>11.2%</w:t>
            </w:r>
          </w:p>
        </w:tc>
        <w:tc>
          <w:tcPr>
            <w:tcW w:type="dxa" w:w="1728"/>
          </w:tcPr>
          <w:p>
            <w:pPr>
              <w:spacing w:before="20" w:after="20" w:line="252" w:lineRule="auto"/>
              <w:jc w:val="center"/>
            </w:pPr>
            <w:r>
              <w:rPr>
                <w:rFonts w:ascii="Times New Roman" w:hAnsi="Times New Roman"/>
                <w:b w:val="0"/>
                <w:i w:val="0"/>
                <w:sz w:val="16"/>
              </w:rPr>
              <w:t>€40,571.43</w:t>
            </w:r>
          </w:p>
        </w:tc>
        <w:tc>
          <w:tcPr>
            <w:tcW w:type="dxa" w:w="1728"/>
          </w:tcPr>
          <w:p>
            <w:pPr>
              <w:spacing w:before="20" w:after="20" w:line="252" w:lineRule="auto"/>
              <w:jc w:val="center"/>
            </w:pPr>
            <w:r>
              <w:rPr>
                <w:rFonts w:ascii="Times New Roman" w:hAnsi="Times New Roman"/>
                <w:b w:val="0"/>
                <w:i w:val="0"/>
                <w:sz w:val="16"/>
              </w:rPr>
              <w:t>-13,353 units (-64.0%)</w:t>
            </w:r>
          </w:p>
        </w:tc>
      </w:tr>
      <w:tr>
        <w:tc>
          <w:tcPr>
            <w:tcW w:type="dxa" w:w="1728"/>
          </w:tcPr>
          <w:p>
            <w:pPr>
              <w:spacing w:before="20" w:after="20" w:line="252" w:lineRule="auto"/>
              <w:jc w:val="left"/>
            </w:pPr>
            <w:r>
              <w:rPr>
                <w:rFonts w:ascii="Times New Roman" w:hAnsi="Times New Roman"/>
                <w:b w:val="0"/>
                <w:i w:val="0"/>
                <w:sz w:val="16"/>
              </w:rPr>
              <w:t>Control 3 + Newsvendor (z = +0.2533)</w:t>
            </w:r>
          </w:p>
        </w:tc>
        <w:tc>
          <w:tcPr>
            <w:tcW w:type="dxa" w:w="1728"/>
          </w:tcPr>
          <w:p>
            <w:pPr>
              <w:spacing w:before="20" w:after="20" w:line="252" w:lineRule="auto"/>
              <w:jc w:val="center"/>
            </w:pPr>
            <w:r>
              <w:rPr>
                <w:rFonts w:ascii="Times New Roman" w:hAnsi="Times New Roman"/>
                <w:b w:val="0"/>
                <w:i w:val="0"/>
                <w:sz w:val="16"/>
              </w:rPr>
              <w:t>72,408</w:t>
            </w:r>
          </w:p>
        </w:tc>
        <w:tc>
          <w:tcPr>
            <w:tcW w:type="dxa" w:w="1728"/>
          </w:tcPr>
          <w:p>
            <w:pPr>
              <w:spacing w:before="20" w:after="20" w:line="252" w:lineRule="auto"/>
              <w:jc w:val="center"/>
            </w:pPr>
            <w:r>
              <w:rPr>
                <w:rFonts w:ascii="Times New Roman" w:hAnsi="Times New Roman"/>
                <w:b w:val="0"/>
                <w:i w:val="0"/>
                <w:sz w:val="16"/>
              </w:rPr>
              <w:t>63,243</w:t>
            </w:r>
          </w:p>
        </w:tc>
        <w:tc>
          <w:tcPr>
            <w:tcW w:type="dxa" w:w="1728"/>
          </w:tcPr>
          <w:p>
            <w:pPr>
              <w:spacing w:before="20" w:after="20" w:line="252" w:lineRule="auto"/>
              <w:jc w:val="center"/>
            </w:pPr>
            <w:r>
              <w:rPr>
                <w:rFonts w:ascii="Times New Roman" w:hAnsi="Times New Roman"/>
                <w:b w:val="0"/>
                <w:i w:val="0"/>
                <w:sz w:val="16"/>
              </w:rPr>
              <w:t>12.7%</w:t>
            </w:r>
          </w:p>
        </w:tc>
        <w:tc>
          <w:tcPr>
            <w:tcW w:type="dxa" w:w="1728"/>
          </w:tcPr>
          <w:p>
            <w:pPr>
              <w:spacing w:before="20" w:after="20" w:line="252" w:lineRule="auto"/>
              <w:jc w:val="center"/>
            </w:pPr>
            <w:r>
              <w:rPr>
                <w:rFonts w:ascii="Times New Roman" w:hAnsi="Times New Roman"/>
                <w:b w:val="0"/>
                <w:i w:val="0"/>
                <w:sz w:val="16"/>
              </w:rPr>
              <w:t>€41,635.90</w:t>
            </w:r>
          </w:p>
        </w:tc>
        <w:tc>
          <w:tcPr>
            <w:tcW w:type="dxa" w:w="1728"/>
          </w:tcPr>
          <w:p>
            <w:pPr>
              <w:spacing w:before="20" w:after="20" w:line="252" w:lineRule="auto"/>
              <w:jc w:val="center"/>
            </w:pPr>
            <w:r>
              <w:rPr>
                <w:rFonts w:ascii="Times New Roman" w:hAnsi="Times New Roman"/>
                <w:b w:val="0"/>
                <w:i w:val="0"/>
                <w:sz w:val="16"/>
              </w:rPr>
              <w:t>-16,243 units (-64.4%)</w:t>
            </w:r>
          </w:p>
        </w:tc>
      </w:tr>
    </w:tbl>
    <w:p>
      <w:pPr>
        <w:spacing w:before="0" w:after="80" w:line="252" w:lineRule="auto"/>
        <w:jc w:val="left"/>
      </w:pPr>
    </w:p>
    <w:p>
      <w:pPr>
        <w:spacing w:before="0" w:after="80" w:line="252" w:lineRule="auto"/>
        <w:jc w:val="both"/>
      </w:pPr>
      <w:r>
        <w:rPr>
          <w:rFonts w:ascii="Times New Roman" w:hAnsi="Times New Roman"/>
          <w:b w:val="0"/>
          <w:i w:val="0"/>
          <w:sz w:val="20"/>
        </w:rPr>
        <w:t>Table IV confirms that transitioning from an uncalibrated 95% cycle service level buffer to the asymmetric Newsvendor Critical Ratio ordering policy dramatically curbs food waste by 64.4% (-16,243 units) for Control 3 and 64.0% (-13,353 units) for the Hybrid, while increasing net trading profit by +€5,092.07 (+13.9%) and +€2,712.69 (+7.4%) respectively.</w:t>
      </w:r>
    </w:p>
    <w:p>
      <w:pPr>
        <w:spacing w:before="120" w:after="40" w:line="252" w:lineRule="auto"/>
        <w:jc w:val="left"/>
      </w:pPr>
      <w:r>
        <w:rPr>
          <w:rFonts w:ascii="Times New Roman" w:hAnsi="Times New Roman"/>
          <w:b/>
          <w:i/>
          <w:sz w:val="20"/>
        </w:rPr>
        <w:t>D.  Methodological Rejection of Weather Regressors</w:t>
      </w:r>
    </w:p>
    <w:p>
      <w:pPr>
        <w:spacing w:before="0" w:after="80" w:line="252" w:lineRule="auto"/>
        <w:jc w:val="both"/>
      </w:pPr>
      <w:r>
        <w:rPr>
          <w:rFonts w:ascii="Times New Roman" w:hAnsi="Times New Roman"/>
          <w:b w:val="0"/>
          <w:i w:val="0"/>
          <w:sz w:val="20"/>
        </w:rPr>
        <w:t>To rigorously assess whether external meteorological variables (temperature anomaly, precipitation, sunshine hours) provide genuine predictive signal, a circular permutation placebo test was executed across 200 iterations by shifting weather series by random offsets k in [30, 300] days. While the actual weather model yielded a modest +0.32 percentage point gain, synthetic placebo models produced an average negative shift of -0.51 pp. Most decisively, the paired bootstrap confidence interval spanned zero (CI [-0.24, +0.87]), and the weather model trailed Control 3 by 2.15 percentage points. Consequently, weather features were explicitly excluded from production deployment, eliminating third-party API latency and network points of failure.</w:t>
      </w:r>
    </w:p>
    <w:p>
      <w:pPr>
        <w:spacing w:before="120" w:after="40" w:line="252" w:lineRule="auto"/>
        <w:jc w:val="left"/>
      </w:pPr>
      <w:r>
        <w:rPr>
          <w:rFonts w:ascii="Times New Roman" w:hAnsi="Times New Roman"/>
          <w:b/>
          <w:i/>
          <w:sz w:val="20"/>
        </w:rPr>
        <w:t>E.  Full-Stack Verification and Quality Metrics</w:t>
      </w:r>
    </w:p>
    <w:p>
      <w:pPr>
        <w:spacing w:before="0" w:after="80" w:line="252" w:lineRule="auto"/>
        <w:jc w:val="both"/>
      </w:pPr>
      <w:r>
        <w:rPr>
          <w:rFonts w:ascii="Times New Roman" w:hAnsi="Times New Roman"/>
          <w:b w:val="0"/>
          <w:i w:val="0"/>
          <w:sz w:val="20"/>
        </w:rPr>
        <w:t>The complete operational platform was verified through automated end-to-end testing and defect logging: (1) 44 automated Flutter test suites passed (21 unit tests, 18 widget tests, and 5 integration tests verifying catalog clamping, discount flows, and offline fallbacks); (2) 7 automated FastAPI backend tests passed, validating rate limiters, basis paths, and multi-tenant isolation; and (3) 13 production defects (DEF-001 through DEF-013) were systematically logged, remediated, and verified, including rate limiter spoofing vulnerabilities and JWT expiration handling.</w:t>
      </w:r>
    </w:p>
    <w:p>
      <w:pPr>
        <w:spacing w:before="200" w:after="60" w:line="252" w:lineRule="auto"/>
        <w:jc w:val="center"/>
      </w:pPr>
      <w:r>
        <w:rPr>
          <w:rFonts w:ascii="Times New Roman" w:hAnsi="Times New Roman"/>
          <w:b/>
          <w:i w:val="0"/>
          <w:sz w:val="20"/>
        </w:rPr>
        <w:t>VI.  DISCUSSION AND PRACTICAL IMPLICATIONS</w:t>
      </w:r>
    </w:p>
    <w:p>
      <w:pPr>
        <w:spacing w:before="0" w:after="80" w:line="252" w:lineRule="auto"/>
        <w:jc w:val="both"/>
      </w:pPr>
      <w:r>
        <w:rPr>
          <w:rFonts w:ascii="Times New Roman" w:hAnsi="Times New Roman"/>
          <w:b w:val="0"/>
          <w:i w:val="0"/>
          <w:sz w:val="20"/>
        </w:rPr>
        <w:t>The empirical findings yield critical insights for digital transformation in retail SMEs. First, our results challenge the prevailing emphasis on complex multi-stage architectures in retail forecasting: single-stage gradient boosting with 1-day lag telemetry (Control 3) decisively outperformed feature-stacked hybrid models by 2.18 percentage points, proving that immediate POS feedback contains vastly more predictive entropy than deep historical decompositions. Second, asymmetric Newsvendor buffering resolves the chronic 'forecast-to-action' gap: by penalizing spoilage proportionally to unit margin, independent bakeries can achieve substantial food waste reduction without sacrificing commercial service availability.</w:t>
      </w:r>
    </w:p>
    <w:p>
      <w:pPr>
        <w:spacing w:before="200" w:after="60" w:line="252" w:lineRule="auto"/>
        <w:jc w:val="center"/>
      </w:pPr>
      <w:r>
        <w:rPr>
          <w:rFonts w:ascii="Times New Roman" w:hAnsi="Times New Roman"/>
          <w:b/>
          <w:i w:val="0"/>
          <w:sz w:val="20"/>
        </w:rPr>
        <w:t>VII.  CONCLUSION AND FUTURE WORK</w:t>
      </w:r>
    </w:p>
    <w:p>
      <w:pPr>
        <w:spacing w:before="0" w:after="80" w:line="252" w:lineRule="auto"/>
        <w:jc w:val="both"/>
      </w:pPr>
      <w:r>
        <w:rPr>
          <w:rFonts w:ascii="Times New Roman" w:hAnsi="Times New Roman"/>
          <w:b w:val="0"/>
          <w:i w:val="0"/>
          <w:sz w:val="20"/>
        </w:rPr>
        <w:t>This paper presented an intelligent demand forecasting and perishable inventory replenishment decision-support platform designed for independent food retail enterprises. Through rigorous 38-fold expanding-window backtesting on 637 days of real-world French bakery transactions, we demonstrated the empirical superiority of day-ahead point-of-sale telemetry (Control 3, 25.48% WAPE, p = 0.0138), proved the seasonal resilience of a Prophet + HGBR hybrid (30.13% WAPE under peak summer stress), and methodologically rejected exogenous weather features via circular permutation placebo testing. Coupled with an asymmetric Newsvendor replenishment policy, the platform reduces simulated physical food waste by 64.4% while enhancing net operational profit. The complete solution is realized as a decoupled cloud-to-mobile system with grounded generative AI briefings, validated by 51 passing automated test suites.</w:t>
      </w:r>
    </w:p>
    <w:p>
      <w:pPr>
        <w:spacing w:before="0" w:after="80" w:line="252" w:lineRule="auto"/>
        <w:jc w:val="both"/>
      </w:pPr>
      <w:r>
        <w:rPr>
          <w:rFonts w:ascii="Times New Roman" w:hAnsi="Times New Roman"/>
          <w:b w:val="0"/>
          <w:i w:val="0"/>
          <w:sz w:val="20"/>
        </w:rPr>
        <w:t>Future work will focus on integrating real-time POS barcode scanner webhooks to support automated Control 3 deployment in production (V2), extending the decision engine to multi-echelon cold-chain food networks, and incorporating dynamic price-elasticity learning within the intraday markdown actuation pipeline.</w:t>
      </w:r>
    </w:p>
    <w:p>
      <w:pPr>
        <w:spacing w:before="200" w:after="60" w:line="252" w:lineRule="auto"/>
        <w:jc w:val="center"/>
      </w:pPr>
      <w:r>
        <w:rPr>
          <w:rFonts w:ascii="Times New Roman" w:hAnsi="Times New Roman"/>
          <w:b/>
          <w:i w:val="0"/>
          <w:sz w:val="20"/>
        </w:rPr>
        <w:t>VIII.  REFERENCES</w:t>
      </w:r>
    </w:p>
    <w:p>
      <w:pPr>
        <w:spacing w:before="0" w:after="60" w:line="252" w:lineRule="auto"/>
        <w:jc w:val="both"/>
      </w:pPr>
      <w:r>
        <w:rPr>
          <w:rFonts w:ascii="Times New Roman" w:hAnsi="Times New Roman"/>
          <w:b w:val="0"/>
          <w:i w:val="0"/>
          <w:sz w:val="17"/>
        </w:rPr>
        <w:t>[1] J. C. Susanto, M. L. Wiratama, P. C. Nathaniel, and I. D. Sudirman, "Performance Analysis of Time Series Models to Predict Sales Activity of SMEs," in 2026 International Seminar on Intelligent Business and Edge-Computing Research (ISIBER), Jakarta, Indonesia: IEEE, Feb. 2026, pp. 808–813. doi: 10.1109/ISIBER68248.2026.11470090.</w:t>
      </w:r>
    </w:p>
    <w:p>
      <w:pPr>
        <w:spacing w:before="0" w:after="60" w:line="252" w:lineRule="auto"/>
        <w:jc w:val="both"/>
      </w:pPr>
      <w:r>
        <w:rPr>
          <w:rFonts w:ascii="Times New Roman" w:hAnsi="Times New Roman"/>
          <w:b w:val="0"/>
          <w:i w:val="0"/>
          <w:sz w:val="17"/>
        </w:rPr>
        <w:t>[2] T. Gaertner, C. Lippert, and S. Konigorski, "Automated Demand Forecasting in small to medium-sized enterprises," Dec. 29, 2024, arXiv: arXiv:2412.20420. doi: 10.48550/arXiv.2412.20420.</w:t>
      </w:r>
    </w:p>
    <w:p>
      <w:pPr>
        <w:spacing w:before="0" w:after="60" w:line="252" w:lineRule="auto"/>
        <w:jc w:val="both"/>
      </w:pPr>
      <w:r>
        <w:rPr>
          <w:rFonts w:ascii="Times New Roman" w:hAnsi="Times New Roman"/>
          <w:b w:val="0"/>
          <w:i w:val="0"/>
          <w:sz w:val="17"/>
        </w:rPr>
        <w:t>[3] I. Rahmatillah, P. Herwanto, and I. D. Sudirman, "Evaluation of Optimized LSTM and Moving Average in SME Inventory Forecasting and Simulation," in 2026 International Conference on Current Research in Artificial Intelligence and Data Science (ICCRAIDS), Banyumas, Indonesia: IEEE, Apr. 2026, pp. 1–5. doi: 10.1109/ICCRAIDS67816.2026.11519654.</w:t>
      </w:r>
    </w:p>
    <w:p>
      <w:pPr>
        <w:spacing w:before="0" w:after="60" w:line="252" w:lineRule="auto"/>
        <w:jc w:val="both"/>
      </w:pPr>
      <w:r>
        <w:rPr>
          <w:rFonts w:ascii="Times New Roman" w:hAnsi="Times New Roman"/>
          <w:b w:val="0"/>
          <w:i w:val="0"/>
          <w:sz w:val="17"/>
        </w:rPr>
        <w:t>[4] M. A. Munawar and I. D. Sudirman, "LSTM-Based Hourly Sales Forecasting in SME Food and Beverage Retail," in 2026 International Seminar on Intelligent Business and Edge-Computing Research (ISIBER), Jakarta, Indonesia: IEEE, Feb. 2026, pp. 802–807. doi: 10.1109/ISIBER68248.2026.11469764.</w:t>
      </w:r>
    </w:p>
    <w:p>
      <w:pPr>
        <w:spacing w:before="0" w:after="60" w:line="252" w:lineRule="auto"/>
        <w:jc w:val="both"/>
      </w:pPr>
      <w:r>
        <w:rPr>
          <w:rFonts w:ascii="Times New Roman" w:hAnsi="Times New Roman"/>
          <w:b w:val="0"/>
          <w:i w:val="0"/>
          <w:sz w:val="17"/>
        </w:rPr>
        <w:t>[5] P. M, D. H, K. Thilagavathi, B. Naresh, P. P. Devi, and M. Tiwari, "AI-Driven Predictive Analytics for Sustainable Restaurant Operations and Waste Minimization," in 2025 Tenth International Conference on Science Technology Engineering and Mathematics (ICONSTEM), Chennai, India: IEEE, Nov. 2025, pp. 1–9. doi: 10.1109/ICONSTEM65670.2025.11374322.</w:t>
      </w:r>
    </w:p>
    <w:p>
      <w:pPr>
        <w:spacing w:before="0" w:after="60" w:line="252" w:lineRule="auto"/>
        <w:jc w:val="both"/>
      </w:pPr>
      <w:r>
        <w:rPr>
          <w:rFonts w:ascii="Times New Roman" w:hAnsi="Times New Roman"/>
          <w:b w:val="0"/>
          <w:i w:val="0"/>
          <w:sz w:val="17"/>
        </w:rPr>
        <w:t>[6] S. Chowdhury, P. Prasad, L. Patidar, S. Swetha, S. Prakash, and M. Sharma, "Predictive Analytics in Food Supply Chain and Waste Management," in 2025 5th International Conference on Advancement in Electronics &amp; Communication Engineering (AECE), Ghaziabad, India: IEEE, Nov. 2025, pp. 399–404. doi: 10.1109/AECE67531.2025.11386707.</w:t>
      </w:r>
    </w:p>
    <w:p>
      <w:pPr>
        <w:spacing w:before="0" w:after="60" w:line="252" w:lineRule="auto"/>
        <w:jc w:val="both"/>
      </w:pPr>
      <w:r>
        <w:rPr>
          <w:rFonts w:ascii="Times New Roman" w:hAnsi="Times New Roman"/>
          <w:b w:val="0"/>
          <w:i w:val="0"/>
          <w:sz w:val="17"/>
        </w:rPr>
        <w:t>[7] K. Avuduri, M. Lakshmi V, and S. L, "Smart Stock: Automating Inventory Management for Small Warehouses with Real-Time Intelligence," in 2025 10th International Conference on Communication and Electronics Systems (ICCES), Coimbatore, India: IEEE, Oct. 2025, pp. 1802–1807. doi: 10.1109/ICCES67310.2025.11336945.</w:t>
      </w:r>
    </w:p>
    <w:p>
      <w:pPr>
        <w:spacing w:before="0" w:after="60" w:line="252" w:lineRule="auto"/>
        <w:jc w:val="both"/>
      </w:pPr>
      <w:r>
        <w:rPr>
          <w:rFonts w:ascii="Times New Roman" w:hAnsi="Times New Roman"/>
          <w:b w:val="0"/>
          <w:i w:val="0"/>
          <w:sz w:val="17"/>
        </w:rPr>
        <w:t>[8] M. Cherian, A. Jane, Deepak, G. Sinchana, and M. Modasscer, "Demand Forecasting System for Small Business Optimization," in 2025 5th International Conference on Intelligent Technologies (CONIT), HUBBALI, India: IEEE, Jun. 2025, pp. 1–6. doi: 10.1109/CONIT65521.2025.11167430.</w:t>
      </w:r>
    </w:p>
    <w:p>
      <w:pPr>
        <w:spacing w:before="0" w:after="60" w:line="252" w:lineRule="auto"/>
        <w:jc w:val="both"/>
      </w:pPr>
      <w:r>
        <w:rPr>
          <w:rFonts w:ascii="Times New Roman" w:hAnsi="Times New Roman"/>
          <w:b w:val="0"/>
          <w:i w:val="0"/>
          <w:sz w:val="17"/>
        </w:rPr>
        <w:t>[9] K. S. Aqila, R. A. Kusuma, M. R. Ali Safitrah, R. J. G. Setiardi, T. Mauritsius, and E. Miranda, "Comparative Evaluation of SARIMA, FB Prophet, and LSTM for Hourly Demand Forecasting in Saudagar Kopi," in 2026 International Conference on Current Research in Artificial Intelligence and Data Science (ICCRAIDS), Banyumas, Indonesia: IEEE, Apr. 2026, pp. 1–6. doi: 10.1109/ICCRAIDS67816.2026.11519726.</w:t>
      </w:r>
    </w:p>
    <w:p>
      <w:pPr>
        <w:spacing w:before="0" w:after="60" w:line="252" w:lineRule="auto"/>
        <w:jc w:val="both"/>
      </w:pPr>
      <w:r>
        <w:rPr>
          <w:rFonts w:ascii="Times New Roman" w:hAnsi="Times New Roman"/>
          <w:b w:val="0"/>
          <w:i w:val="0"/>
          <w:sz w:val="17"/>
        </w:rPr>
        <w:t>[10] P. Ganguly and I. Mukherjee, "Enhancing Retail Sales Forecasting with Optimized Machine Learning Models," in 2024 4th International Conference on Sustainable Expert Systems (ICSES), Oct. 2024, pp. 884–889. doi: 10.1109/ICSES63445.2024.10762950.</w:t>
      </w:r>
    </w:p>
    <w:p>
      <w:pPr>
        <w:spacing w:before="0" w:after="60" w:line="252" w:lineRule="auto"/>
        <w:jc w:val="both"/>
      </w:pPr>
      <w:r>
        <w:rPr>
          <w:rFonts w:ascii="Times New Roman" w:hAnsi="Times New Roman"/>
          <w:b w:val="0"/>
          <w:i w:val="0"/>
          <w:sz w:val="17"/>
        </w:rPr>
        <w:t>[11] S. V, K. N, R. Saivenkat, G. R, T. M. R, and Z. H. J, "Smart Sales Forecasting Machine Learning Models for Demand Prediction in Retail," in 2025 3rd International Conference on Intelligent Data Communication Technologies and Internet of Things (IDCIoT), Bengaluru, India: IEEE, Feb. 2025, pp. 2139–2143. doi: 10.1109/IDCIOT64235.2025.10915120.</w:t>
      </w:r>
    </w:p>
    <w:p>
      <w:pPr>
        <w:spacing w:before="0" w:after="60" w:line="252" w:lineRule="auto"/>
        <w:jc w:val="both"/>
      </w:pPr>
      <w:r>
        <w:rPr>
          <w:rFonts w:ascii="Times New Roman" w:hAnsi="Times New Roman"/>
          <w:b w:val="0"/>
          <w:i w:val="0"/>
          <w:sz w:val="17"/>
        </w:rPr>
        <w:t>[12] H. Jatte, S. Belattar, and E. K. Haimoudi, "Optimization of Forecasting Performance in the Retail Sector Using Artificial Intelligence," in ICATH 2025, MDPI, Oct. 2025, p. 37. doi: 10.3390/engproc2025112037.</w:t>
      </w:r>
    </w:p>
    <w:p>
      <w:pPr>
        <w:spacing w:before="0" w:after="60" w:line="252" w:lineRule="auto"/>
        <w:jc w:val="both"/>
      </w:pPr>
      <w:r>
        <w:rPr>
          <w:rFonts w:ascii="Times New Roman" w:hAnsi="Times New Roman"/>
          <w:b w:val="0"/>
          <w:i w:val="0"/>
          <w:sz w:val="17"/>
        </w:rPr>
        <w:t>[13] T. Janchidfah, P. Chansuek, and P. Worasiri, "A Mobile Application for Inventory Management to Support Digital Transformation in Small Retail Businesses," in 2026 IEEE International Conference on Cybernetics and Innovations (ICCI), Chonburi, Thailand: IEEE, Apr. 2026, pp. 1–6. doi: 10.1109/ICCI68752.2026.11506505.</w:t>
      </w:r>
    </w:p>
    <w:p>
      <w:pPr>
        <w:spacing w:before="0" w:after="60" w:line="252" w:lineRule="auto"/>
        <w:jc w:val="both"/>
      </w:pPr>
      <w:r>
        <w:rPr>
          <w:rFonts w:ascii="Times New Roman" w:hAnsi="Times New Roman"/>
          <w:b w:val="0"/>
          <w:i w:val="0"/>
          <w:sz w:val="17"/>
        </w:rPr>
        <w:t>[14] G. Sakuda, J. Leon, and R. Rojas, "Mobile Application for the Intelligent Management of Small Shops using the GPT-4 Model," in 2024 IEEE 4th International Conference on Advanced Learning Technologies on Education &amp; Research (ICALTER), Tarma, Peru: IEEE, Dec. 2024, pp. 1–4. doi: 10.1109/ICALTER65499.2024.10819203.</w:t>
      </w:r>
    </w:p>
    <w:p>
      <w:pPr>
        <w:spacing w:before="0" w:after="60" w:line="252" w:lineRule="auto"/>
        <w:jc w:val="both"/>
      </w:pPr>
      <w:r>
        <w:rPr>
          <w:rFonts w:ascii="Times New Roman" w:hAnsi="Times New Roman"/>
          <w:b w:val="0"/>
          <w:i w:val="0"/>
          <w:sz w:val="17"/>
        </w:rPr>
        <w:t>[15] S. Vyakarnam, B. R. K. Baburavi, L. Awasthi, A. A. Maiti, M. Malik, and A. Panneerselvan, "Optimizing Supply Chain Management for Small and Medium-Sized Businesses Using AI: A Comparative Analysis of GPT-4.5, Grok 3, Gemini 2.0, and DeepSeek R-1," in 2025 IEEE/ACIS 23rd International Conference on Software Engineering Research, Management and Applications (SERA), Las Vegas, NV, USA: IEEE, May 2025, pp. 65–68. doi: 10.1109/SERA65747.2025.11154630.</w:t>
      </w:r>
    </w:p>
    <w:p>
      <w:pPr>
        <w:spacing w:before="0" w:after="60" w:line="252" w:lineRule="auto"/>
        <w:jc w:val="both"/>
      </w:pPr>
      <w:r>
        <w:rPr>
          <w:rFonts w:ascii="Times New Roman" w:hAnsi="Times New Roman"/>
          <w:b w:val="0"/>
          <w:i w:val="0"/>
          <w:sz w:val="17"/>
        </w:rPr>
        <w:t>[16] N. Groene and S. Zakharov, "Introduction of AI-based sales forecasting: how to drive digital transformation in food and beverage outlets," Discov. Artif. Intell., vol. 4, no. 1, p. 1, Jan. 2024, doi: 10.1007/s44163-023-00097-x.</w:t>
      </w:r>
    </w:p>
    <w:p>
      <w:pPr>
        <w:spacing w:before="0" w:after="60" w:line="252" w:lineRule="auto"/>
        <w:jc w:val="both"/>
      </w:pPr>
      <w:r>
        <w:rPr>
          <w:rFonts w:ascii="Times New Roman" w:hAnsi="Times New Roman"/>
          <w:b w:val="0"/>
          <w:i w:val="0"/>
          <w:sz w:val="17"/>
        </w:rPr>
        <w:t>[17] Yuniarty, H. Prabowo, R. B. Ikhsan, and N. Enriquez, "Technology Acceptance and Security Influences on AI Adoption among Small and Medium Enterprises," in 2025 International Conference on Informatics, Multimedia, Cyber and Information System (ICIMCIS), Jakarta, Indonesia: IEEE, Dec. 2025, pp. 1643–1648. doi: 10.1109/ICIMCIS68501.2025.11327244.</w:t>
      </w:r>
    </w:p>
    <w:p>
      <w:pPr>
        <w:spacing w:before="0" w:after="60" w:line="252" w:lineRule="auto"/>
        <w:jc w:val="both"/>
      </w:pPr>
      <w:r>
        <w:rPr>
          <w:rFonts w:ascii="Times New Roman" w:hAnsi="Times New Roman"/>
          <w:b w:val="0"/>
          <w:i w:val="0"/>
          <w:sz w:val="17"/>
        </w:rPr>
        <w:t>[18] T. Aree and P. Ueasangkomsate, "Technology Adoption of MSMEs in Food Supply Chain: The Role of AI in Traceability and Transparency," in 2025 6th Technology Innovation Management and Engineering Science International Conference (TIMES-iCON), Bangkok, Thailand: IEEE, Dec. 2025, pp. 1–5. doi: 10.1109/TIMES-iCON67125.2025.11488133.</w:t>
      </w:r>
    </w:p>
    <w:p>
      <w:pPr>
        <w:spacing w:before="0" w:after="60" w:line="252" w:lineRule="auto"/>
        <w:jc w:val="both"/>
      </w:pPr>
      <w:r>
        <w:rPr>
          <w:rFonts w:ascii="Times New Roman" w:hAnsi="Times New Roman"/>
          <w:b w:val="0"/>
          <w:i w:val="0"/>
          <w:sz w:val="17"/>
        </w:rPr>
        <w:t>[19] A. Güler, A. Musa, M. Tarım, O. Saraç, and M. Göktürk, "Forecasting Restaurant Sales with the Sensitivity of Weather Conditions and Special Days Using Facebook Prophet," J. Data Appl., vol. 0, no. 2, pp. 15–30, Jun. 2024, doi: 10.26650/JODA.1450459.</w:t>
      </w:r>
    </w:p>
    <w:p>
      <w:pPr>
        <w:spacing w:before="0" w:after="60" w:line="252" w:lineRule="auto"/>
        <w:jc w:val="both"/>
      </w:pPr>
      <w:r>
        <w:rPr>
          <w:rFonts w:ascii="Times New Roman" w:hAnsi="Times New Roman"/>
          <w:b w:val="0"/>
          <w:i w:val="0"/>
          <w:sz w:val="17"/>
        </w:rPr>
        <w:t>[20] L. R, A. S, D. AR, S. Ponugoti, and H. J. R, "Enhanced sales forecasting of perishable and non- perishable goods using weather data with insights on Imports and price sensitivity," in 2025 2nd International Conference on Research Methodologies in Knowledge Management, Artificial Intelligence and Telecommunication Engineering (RMKMATE), Chennai, India: IEEE, May 2025, pp. 1–8. doi: 10.1109/RMKMATE64874.2025.11042488.</w:t>
      </w:r>
    </w:p>
    <w:p>
      <w:pPr>
        <w:spacing w:before="0" w:after="60" w:line="252" w:lineRule="auto"/>
        <w:jc w:val="both"/>
      </w:pPr>
      <w:r>
        <w:rPr>
          <w:rFonts w:ascii="Times New Roman" w:hAnsi="Times New Roman"/>
          <w:b w:val="0"/>
          <w:i w:val="0"/>
          <w:sz w:val="17"/>
        </w:rPr>
        <w:t>[21] M. Kamboj, D. Kamboj, K. Naveed, S. R. Das, B. Hassan, and T. Tahir, "State-Level Drug Retail Sales Forecasting Using XGBoost and Facebook Prophet," in 2025 IEEE International Conference on Technology Management, Operations and Decisions (ICTMOD), Glasgow, United Kingdom: IEEE, Oct. 2025, pp. 1–6. doi: 10.1109/ICTMOD66732.2025.11371982.</w:t>
      </w:r>
    </w:p>
    <w:p>
      <w:pPr>
        <w:spacing w:before="0" w:after="60" w:line="252" w:lineRule="auto"/>
        <w:jc w:val="both"/>
      </w:pPr>
      <w:r>
        <w:rPr>
          <w:rFonts w:ascii="Times New Roman" w:hAnsi="Times New Roman"/>
          <w:b w:val="0"/>
          <w:i w:val="0"/>
          <w:sz w:val="17"/>
        </w:rPr>
        <w:t>[22] N. Jain, J. Hawari, P. Jha, and K. Dinesh Kumar, "Weather-Integrated Recommendations for Food Choices with SHAP Explanation," in 2024 International Conference on Cognitive Robotics and Intelligent Systems (ICC-ROBINS), Coimbatore, India: IEEE, Apr. 2024, pp. 486–491. doi: 10.1109/ICC-ROBINS60238.2024.10533954.</w:t>
      </w:r>
    </w:p>
    <w:p>
      <w:pPr>
        <w:spacing w:before="0" w:after="60" w:line="252" w:lineRule="auto"/>
        <w:jc w:val="both"/>
      </w:pPr>
      <w:r>
        <w:rPr>
          <w:rFonts w:ascii="Times New Roman" w:hAnsi="Times New Roman"/>
          <w:b w:val="0"/>
          <w:i w:val="0"/>
          <w:sz w:val="17"/>
        </w:rPr>
        <w:t>[23] N. Ul Haq Qureshi, S. Javed, K. Javed, S. Meesam Raza Naqvi, A. Raza, and Z. Saeed, "Demand Forecasting in Supply Chain Management for Rossmann Stores Using Weather Enhanced Deep Learning Model," IEEE Access, vol. 12, pp. 145570–145581, 2024, doi: 10.1109/ACCESS.2024.3472499.</w:t>
      </w:r>
    </w:p>
    <w:p>
      <w:pPr>
        <w:spacing w:before="0" w:after="60" w:line="252" w:lineRule="auto"/>
        <w:jc w:val="both"/>
      </w:pPr>
      <w:r>
        <w:rPr>
          <w:rFonts w:ascii="Times New Roman" w:hAnsi="Times New Roman"/>
          <w:b w:val="0"/>
          <w:i w:val="0"/>
          <w:sz w:val="17"/>
        </w:rPr>
        <w:t>[24] S. Srivastava, R. K. Bawa, N. Nagar, R. Srivastava, and S. Sargam, "Predictive Marketing and Sales Analytics Using Machine Learning for Small and Medium E-Commerce Enterprises," in 2026 5th International Conference on Innovative Practices in Technology and Management (ICIPTM), Noida, India: IEEE, Feb. 2026, pp. 1–6. doi: 10.1109/ICIPTM69057.2026.11465324.</w:t>
      </w:r>
    </w:p>
    <w:p>
      <w:pPr>
        <w:spacing w:before="0" w:after="60" w:line="252" w:lineRule="auto"/>
        <w:jc w:val="both"/>
      </w:pPr>
      <w:r>
        <w:rPr>
          <w:rFonts w:ascii="Times New Roman" w:hAnsi="Times New Roman"/>
          <w:b w:val="0"/>
          <w:i w:val="0"/>
          <w:sz w:val="17"/>
        </w:rPr>
        <w:t>[25] K. Somjaipeng and W. Jitsakul, "Factors influencing audit quality through the acceptance and use of AI by auditors in Thailand, affiliated with SMEs audit firms," in 2026 11th International Conference on Business and Industrial Research (ICBIR), Bangkok, Thailand: IEEE, May 2026, pp. 306–311. doi: 10.1109/ICBIR69932.2026.11584822.</w:t>
      </w:r>
    </w:p>
    <w:sectPr w:rsidR="00FC693F" w:rsidRPr="0006063C" w:rsidSect="00034616">
      <w:pgSz w:w="12240" w:h="15840"/>
      <w:pgMar w:top="1080" w:right="936" w:bottom="144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