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530547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2E7C0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CU- 15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2E7C0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Consulta</w:t>
            </w:r>
            <w:bookmarkStart w:id="0" w:name="_GoBack"/>
            <w:bookmarkEnd w:id="0"/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Pr="002D7889" w:rsidRDefault="002D7889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 xml:space="preserve">El tesorero ingresa al sistema por medio de la aplicación, luego se </w:t>
            </w:r>
            <w:proofErr w:type="spellStart"/>
            <w:r>
              <w:rPr>
                <w:lang w:val="es-CR"/>
              </w:rPr>
              <w:t>logea</w:t>
            </w:r>
            <w:proofErr w:type="spellEnd"/>
            <w:r>
              <w:rPr>
                <w:lang w:val="es-CR"/>
              </w:rPr>
              <w:t xml:space="preserve"> para proceder a buscar la opción de “Consultar” para elegir que quiere consultar.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42" w:rsidRPr="00EF18C3" w:rsidRDefault="00E04F42" w:rsidP="00E04F42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EF18C3">
              <w:rPr>
                <w:lang w:val="es-ES"/>
              </w:rPr>
              <w:t xml:space="preserve"> introduce la contraseña y usuario con éxito. </w:t>
            </w:r>
          </w:p>
          <w:p w:rsidR="00E04F42" w:rsidRPr="00EF18C3" w:rsidRDefault="00E04F42" w:rsidP="00E04F42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</w:t>
            </w:r>
            <w:r w:rsidRPr="00EF18C3">
              <w:rPr>
                <w:lang w:val="es-ES"/>
              </w:rPr>
              <w:t>con éxito.</w:t>
            </w:r>
          </w:p>
          <w:p w:rsidR="00E04F42" w:rsidRPr="00E04F42" w:rsidRDefault="00E04F42" w:rsidP="00E04F42">
            <w:pPr>
              <w:pStyle w:val="Prrafodelista"/>
              <w:numPr>
                <w:ilvl w:val="0"/>
                <w:numId w:val="10"/>
              </w:numPr>
              <w:rPr>
                <w:rFonts w:ascii="Liberation Serif" w:hAnsi="Liberation Serif" w:cs="Mangal"/>
                <w:lang w:val="es-ES"/>
              </w:rPr>
            </w:pPr>
            <w:r w:rsidRPr="00EF18C3">
              <w:rPr>
                <w:lang w:val="es-ES"/>
              </w:rPr>
              <w:t>S</w:t>
            </w:r>
            <w:r>
              <w:rPr>
                <w:lang w:val="es-ES"/>
              </w:rPr>
              <w:t>e carga la ventana de Consultas</w:t>
            </w:r>
            <w:r w:rsidRPr="00EF18C3">
              <w:rPr>
                <w:lang w:val="es-ES"/>
              </w:rPr>
              <w:t xml:space="preserve"> con éxito.</w:t>
            </w:r>
          </w:p>
          <w:p w:rsidR="00530547" w:rsidRPr="00E04F42" w:rsidRDefault="00E04F42" w:rsidP="00E04F42">
            <w:pPr>
              <w:pStyle w:val="Prrafodelista"/>
              <w:numPr>
                <w:ilvl w:val="0"/>
                <w:numId w:val="10"/>
              </w:numPr>
              <w:rPr>
                <w:rFonts w:ascii="Liberation Serif" w:hAnsi="Liberation Serif" w:cs="Mangal"/>
                <w:lang w:val="es-ES"/>
              </w:rPr>
            </w:pPr>
            <w:r w:rsidRPr="00E04F42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E04F42">
              <w:rPr>
                <w:lang w:val="es-ES"/>
              </w:rPr>
              <w:t xml:space="preserve"> </w:t>
            </w:r>
            <w:r>
              <w:rPr>
                <w:lang w:val="es-ES"/>
              </w:rPr>
              <w:t>elige</w:t>
            </w:r>
            <w:r w:rsidRPr="00E04F42">
              <w:rPr>
                <w:lang w:val="es-ES"/>
              </w:rPr>
              <w:t xml:space="preserve"> opción a mostrar correctamente.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Pr="00E04F42" w:rsidRDefault="00E04F42" w:rsidP="00E04F4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E04F42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muestra los datos correctamente.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14.1 Realizar Consulta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“Consulta”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elige la opción en la que quiere obtener la información (total, tipo, fecha)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“Consulta”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14.1 Error al elegir opción</w:t>
            </w:r>
          </w:p>
          <w:p w:rsidR="00530547" w:rsidRDefault="00530547" w:rsidP="00530547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530547" w:rsidRPr="007841BB" w:rsidRDefault="00530547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 xml:space="preserve">14.2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 que la opción que eligió no tiene datos a mostrar o que se encuentra vacía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dos del flujo normal</w:t>
            </w:r>
          </w:p>
          <w:p w:rsidR="00530547" w:rsidRDefault="00530547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14.3 Problemas de conexión</w:t>
            </w:r>
          </w:p>
          <w:p w:rsidR="00530547" w:rsidRDefault="00530547" w:rsidP="00530547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530547" w:rsidRDefault="00530547" w:rsidP="00530547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530547" w:rsidRDefault="00530547" w:rsidP="00530547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Pr="007841BB" w:rsidRDefault="00530547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E.14.Problemas de acceso al sistema.</w:t>
            </w:r>
          </w:p>
          <w:p w:rsidR="00530547" w:rsidRDefault="00530547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E.14.1.Problemas electrónicos.</w:t>
            </w:r>
          </w:p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 xml:space="preserve">E.14.2 Problema de base de datos </w:t>
            </w:r>
          </w:p>
          <w:p w:rsidR="00530547" w:rsidRDefault="0053054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E.14.3 Problemas con el hardware del computador.</w:t>
            </w:r>
          </w:p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E.14.4 Problemas con el software del computador.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530547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530547" w:rsidRDefault="00530547" w:rsidP="00530547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530547" w:rsidRPr="00A10078" w:rsidRDefault="00530547" w:rsidP="00530547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530547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530547" w:rsidRDefault="00530547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530547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547" w:rsidRDefault="00530547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547" w:rsidRDefault="00530547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530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04879"/>
    <w:multiLevelType w:val="multilevel"/>
    <w:tmpl w:val="34283A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9D65EA9"/>
    <w:multiLevelType w:val="multilevel"/>
    <w:tmpl w:val="99828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1B780CB5"/>
    <w:multiLevelType w:val="multilevel"/>
    <w:tmpl w:val="608A086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2AA637F"/>
    <w:multiLevelType w:val="hybridMultilevel"/>
    <w:tmpl w:val="E92CE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75F99"/>
    <w:multiLevelType w:val="multilevel"/>
    <w:tmpl w:val="720A4E10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5D32064E"/>
    <w:multiLevelType w:val="multilevel"/>
    <w:tmpl w:val="FE8E23B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6C4D0BE7"/>
    <w:multiLevelType w:val="multilevel"/>
    <w:tmpl w:val="8A1CB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47"/>
    <w:rsid w:val="002D7889"/>
    <w:rsid w:val="002E7C0D"/>
    <w:rsid w:val="00530547"/>
    <w:rsid w:val="007F1F39"/>
    <w:rsid w:val="00AE132A"/>
    <w:rsid w:val="00E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05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30547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05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30547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2015-08-08T19:57:00Z</dcterms:created>
  <dcterms:modified xsi:type="dcterms:W3CDTF">2015-08-12T06:13:00Z</dcterms:modified>
</cp:coreProperties>
</file>