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98B7" w14:textId="77777777" w:rsidR="00F04C6E" w:rsidRPr="00F04C6E" w:rsidRDefault="00F04C6E" w:rsidP="00F04C6E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</w:rPr>
      </w:pPr>
      <w:r w:rsidRPr="00F04C6E">
        <w:rPr>
          <w:rFonts w:ascii="Lato" w:eastAsia="Times New Roman" w:hAnsi="Lato" w:cs="Times New Roman"/>
          <w:color w:val="666666"/>
          <w:kern w:val="36"/>
          <w:sz w:val="60"/>
          <w:szCs w:val="60"/>
        </w:rPr>
        <w:t>Module 3: Additional Resources</w:t>
      </w:r>
    </w:p>
    <w:p w14:paraId="7E45739D" w14:textId="77777777" w:rsidR="00F04C6E" w:rsidRPr="00F04C6E" w:rsidRDefault="00F04C6E" w:rsidP="00F04C6E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F04C6E">
        <w:rPr>
          <w:rFonts w:ascii="Lato" w:eastAsia="Times New Roman" w:hAnsi="Lato" w:cs="Times New Roman"/>
          <w:color w:val="000000"/>
          <w:sz w:val="24"/>
          <w:szCs w:val="24"/>
        </w:rPr>
        <w:t xml:space="preserve">Congratulations on completing this module. If you would like to dive deeper into the materials covered this week, here are some recommended readings suggested by Prof. Olaf </w:t>
      </w:r>
      <w:proofErr w:type="spellStart"/>
      <w:r w:rsidRPr="00F04C6E">
        <w:rPr>
          <w:rFonts w:ascii="Lato" w:eastAsia="Times New Roman" w:hAnsi="Lato" w:cs="Times New Roman"/>
          <w:color w:val="000000"/>
          <w:sz w:val="24"/>
          <w:szCs w:val="24"/>
        </w:rPr>
        <w:t>Groth</w:t>
      </w:r>
      <w:proofErr w:type="spellEnd"/>
      <w:r w:rsidRPr="00F04C6E">
        <w:rPr>
          <w:rFonts w:ascii="Lato" w:eastAsia="Times New Roman" w:hAnsi="Lato" w:cs="Times New Roman"/>
          <w:color w:val="000000"/>
          <w:sz w:val="24"/>
          <w:szCs w:val="24"/>
        </w:rPr>
        <w:t xml:space="preserve"> to help you continue your learning journey:</w:t>
      </w:r>
    </w:p>
    <w:p w14:paraId="49715521" w14:textId="77777777" w:rsidR="00F04C6E" w:rsidRPr="00F04C6E" w:rsidRDefault="00F04C6E" w:rsidP="00F04C6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hyperlink r:id="rId5" w:tgtFrame="_blank" w:history="1">
        <w:r w:rsidRPr="00F04C6E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 xml:space="preserve">The Global Semiconductor Value </w:t>
        </w:r>
        <w:proofErr w:type="gramStart"/>
        <w:r w:rsidRPr="00F04C6E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Chain </w:t>
        </w:r>
        <w:r w:rsidRPr="00F04C6E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 (</w:t>
        </w:r>
        <w:proofErr w:type="gramEnd"/>
        <w:r w:rsidRPr="00F04C6E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Links to an external site.)</w:t>
        </w:r>
      </w:hyperlink>
    </w:p>
    <w:p w14:paraId="1BDBC003" w14:textId="77777777" w:rsidR="00F04C6E" w:rsidRPr="00F04C6E" w:rsidRDefault="00F04C6E" w:rsidP="00F04C6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hyperlink r:id="rId6" w:tgtFrame="_blank" w:history="1">
        <w:r w:rsidRPr="00F04C6E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 xml:space="preserve">Semiconductors – the Next Wave Opportunities and Winning Strategies for Semiconductor </w:t>
        </w:r>
        <w:proofErr w:type="gramStart"/>
        <w:r w:rsidRPr="00F04C6E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Companies </w:t>
        </w:r>
        <w:r w:rsidRPr="00F04C6E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 (</w:t>
        </w:r>
        <w:proofErr w:type="gramEnd"/>
        <w:r w:rsidRPr="00F04C6E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Links to an external site.)</w:t>
        </w:r>
      </w:hyperlink>
    </w:p>
    <w:p w14:paraId="5861F194" w14:textId="77777777" w:rsidR="00F04C6E" w:rsidRPr="00F04C6E" w:rsidRDefault="00F04C6E" w:rsidP="00F04C6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hyperlink r:id="rId7" w:tgtFrame="_blank" w:history="1">
        <w:r w:rsidRPr="00F04C6E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 xml:space="preserve">Lessons from </w:t>
        </w:r>
        <w:proofErr w:type="spellStart"/>
        <w:proofErr w:type="gramStart"/>
        <w:r w:rsidRPr="00F04C6E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Sematech</w:t>
        </w:r>
        <w:proofErr w:type="spellEnd"/>
        <w:r w:rsidRPr="00F04C6E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 </w:t>
        </w:r>
        <w:r w:rsidRPr="00F04C6E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 (</w:t>
        </w:r>
        <w:proofErr w:type="gramEnd"/>
        <w:r w:rsidRPr="00F04C6E">
          <w:rPr>
            <w:rFonts w:ascii="Lato" w:eastAsia="Times New Roman" w:hAnsi="Lato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Links to an external site.)</w:t>
        </w:r>
      </w:hyperlink>
    </w:p>
    <w:p w14:paraId="407DA756" w14:textId="77777777" w:rsidR="00F04C6E" w:rsidRPr="00F04C6E" w:rsidRDefault="00F04C6E" w:rsidP="00F04C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hyperlink r:id="rId8" w:tgtFrame="_blank" w:history="1">
        <w:r w:rsidRPr="00F04C6E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 xml:space="preserve">Chip Wars: China, </w:t>
        </w:r>
        <w:proofErr w:type="gramStart"/>
        <w:r w:rsidRPr="00F04C6E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>America</w:t>
        </w:r>
        <w:proofErr w:type="gramEnd"/>
        <w:r w:rsidRPr="00F04C6E">
          <w:rPr>
            <w:rFonts w:ascii="Lato" w:eastAsia="Times New Roman" w:hAnsi="Lato" w:cs="Times New Roman"/>
            <w:color w:val="0000FF"/>
            <w:sz w:val="24"/>
            <w:szCs w:val="24"/>
            <w:u w:val="single"/>
          </w:rPr>
          <w:t xml:space="preserve"> and Silicon Supremacy</w:t>
        </w:r>
      </w:hyperlink>
    </w:p>
    <w:p w14:paraId="63C31247" w14:textId="77777777" w:rsidR="00704167" w:rsidRDefault="00704167"/>
    <w:sectPr w:rsidR="00704167" w:rsidSect="00F04C6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95053"/>
    <w:multiLevelType w:val="multilevel"/>
    <w:tmpl w:val="A90C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6E"/>
    <w:rsid w:val="00382845"/>
    <w:rsid w:val="00704167"/>
    <w:rsid w:val="007B0FAF"/>
    <w:rsid w:val="00F0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0D56"/>
  <w15:chartTrackingRefBased/>
  <w15:docId w15:val="{2660DBC2-E605-44D1-9B75-D500760E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4C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C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0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04C6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04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onomist.com/leaders/2018/12/01/chip-wars-china-america-and-silicon-supremac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nologyreview.com/2011/07/25/192832/lessons-from-semate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deloitte.com/content/dam/Deloitte/cn/Documents/technology-media-telecommunications/deloitte-cn-tmt-semiconductors-the-next-wave-en-190422.pdf" TargetMode="External"/><Relationship Id="rId5" Type="http://schemas.openxmlformats.org/officeDocument/2006/relationships/hyperlink" Target="https://www.stiftung-nv.de/sites/default/files/the_global_semiconductor_value_chain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KURT</dc:creator>
  <cp:keywords/>
  <dc:description/>
  <cp:lastModifiedBy>YAVUZ KURT</cp:lastModifiedBy>
  <cp:revision>1</cp:revision>
  <dcterms:created xsi:type="dcterms:W3CDTF">2021-09-28T20:02:00Z</dcterms:created>
  <dcterms:modified xsi:type="dcterms:W3CDTF">2021-09-28T20:04:00Z</dcterms:modified>
</cp:coreProperties>
</file>