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jc w:val="center"/>
      </w:pPr>
      <w:r>
        <w:rPr>
          <w:rFonts w:ascii="Arial" w:cs="Arial" w:eastAsia="Arial" w:hAnsi="Arial"/>
          <w:b/>
          <w:bCs/>
          <w:color w:val="2E5FA3"/>
          <w:sz w:val="48"/>
          <w:szCs w:val="48"/>
        </w:rPr>
        <w:t xml:space="preserve">SAP Project Definition</w:t>
      </w:r>
    </w:p>
    <w:p>
      <w:pPr>
        <w:spacing w:before="0" w:after="480"/>
        <w:jc w:val="center"/>
      </w:pPr>
      <w:r>
        <w:rPr>
          <w:rFonts w:ascii="Arial" w:cs="Arial" w:eastAsia="Arial" w:hAnsi="Arial"/>
          <w:i/>
          <w:iCs/>
          <w:color w:val="555555"/>
          <w:sz w:val="26"/>
          <w:szCs w:val="26"/>
        </w:rPr>
        <w:t xml:space="preserve">Cloud-Native Version Control Platform</w:t>
      </w:r>
    </w:p>
    <w:p>
      <w:pPr>
        <w:pStyle w:val="Heading1"/>
        <w:spacing w:before="360" w:after="120"/>
      </w:pPr>
      <w:r>
        <w:rPr>
          <w:rFonts w:ascii="Arial" w:cs="Arial" w:eastAsia="Arial" w:hAnsi="Arial"/>
          <w:b/>
          <w:bCs/>
          <w:color w:val="2E5FA3"/>
          <w:sz w:val="32"/>
          <w:szCs w:val="32"/>
        </w:rPr>
        <w:t xml:space="preserve">1. Project Idea and Functionalities</w:t>
      </w:r>
    </w:p>
    <w:p>
      <w:pPr>
        <w:spacing w:before="80" w:after="0"/>
      </w:pPr>
      <w:r>
        <w:t xml:space="preserve"/>
      </w:r>
    </w:p>
    <w:p>
      <w:pPr>
        <w:pStyle w:val="ListParagraph"/>
        <w:numPr>
          <w:ilvl w:val="0"/>
          <w:numId w:val="2"/>
        </w:numPr>
        <w:spacing w:before="60" w:after="60"/>
      </w:pPr>
      <w:r>
        <w:rPr>
          <w:rFonts w:ascii="Arial" w:cs="Arial" w:eastAsia="Arial" w:hAnsi="Arial"/>
          <w:color w:val="1A1A2E"/>
          <w:sz w:val="22"/>
          <w:szCs w:val="22"/>
        </w:rPr>
        <w:t xml:space="preserve">When you enter the website, you can register or log into your account.</w:t>
      </w:r>
    </w:p>
    <w:p>
      <w:pPr>
        <w:pStyle w:val="ListParagraph"/>
        <w:numPr>
          <w:ilvl w:val="0"/>
          <w:numId w:val="2"/>
        </w:numPr>
        <w:spacing w:before="60" w:after="60"/>
      </w:pPr>
      <w:r>
        <w:rPr>
          <w:rFonts w:ascii="Arial" w:cs="Arial" w:eastAsia="Arial" w:hAnsi="Arial"/>
          <w:color w:val="1A1A2E"/>
          <w:sz w:val="22"/>
          <w:szCs w:val="22"/>
        </w:rPr>
        <w:t xml:space="preserve">When you pass the log in page, you see a list of repositories — some are yours, others are repositories in which other people have added you. If it is a new account, you don't have any repositories.</w:t>
      </w:r>
    </w:p>
    <w:p>
      <w:pPr>
        <w:pStyle w:val="ListParagraph"/>
        <w:numPr>
          <w:ilvl w:val="0"/>
          <w:numId w:val="2"/>
        </w:numPr>
        <w:spacing w:before="60" w:after="60"/>
      </w:pPr>
      <w:r>
        <w:rPr>
          <w:rFonts w:ascii="Arial" w:cs="Arial" w:eastAsia="Arial" w:hAnsi="Arial"/>
          <w:color w:val="1A1A2E"/>
          <w:sz w:val="22"/>
          <w:szCs w:val="22"/>
        </w:rPr>
        <w:t xml:space="preserve">You can either create a new repository, open one of your repositories (if any), or open one of the repositories you have been invited to through email and have accepted the invitation.</w:t>
      </w:r>
    </w:p>
    <w:p>
      <w:pPr>
        <w:pStyle w:val="ListParagraph"/>
        <w:numPr>
          <w:ilvl w:val="0"/>
          <w:numId w:val="2"/>
        </w:numPr>
        <w:spacing w:before="60" w:after="60"/>
      </w:pPr>
      <w:r>
        <w:rPr>
          <w:rFonts w:ascii="Arial" w:cs="Arial" w:eastAsia="Arial" w:hAnsi="Arial"/>
          <w:b/>
          <w:bCs/>
          <w:color w:val="1A1A2E"/>
          <w:sz w:val="22"/>
          <w:szCs w:val="22"/>
        </w:rPr>
        <w:t xml:space="preserve">Reader:</w:t>
      </w:r>
      <w:r>
        <w:rPr>
          <w:rFonts w:ascii="Arial" w:cs="Arial" w:eastAsia="Arial" w:hAnsi="Arial"/>
          <w:color w:val="1A1A2E"/>
          <w:sz w:val="22"/>
          <w:szCs w:val="22"/>
        </w:rPr>
        <w:t xml:space="preserve"> If you open a repository you have joined as a reader, you can only see the current repository structure and file contents.</w:t>
      </w:r>
    </w:p>
    <w:p>
      <w:pPr>
        <w:pStyle w:val="ListParagraph"/>
        <w:numPr>
          <w:ilvl w:val="0"/>
          <w:numId w:val="2"/>
        </w:numPr>
        <w:spacing w:before="60" w:after="60"/>
      </w:pPr>
      <w:r>
        <w:rPr>
          <w:rFonts w:ascii="Arial" w:cs="Arial" w:eastAsia="Arial" w:hAnsi="Arial"/>
          <w:b/>
          <w:bCs/>
          <w:color w:val="1A1A2E"/>
          <w:sz w:val="22"/>
          <w:szCs w:val="22"/>
        </w:rPr>
        <w:t xml:space="preserve">Author:</w:t>
      </w:r>
      <w:r>
        <w:rPr>
          <w:rFonts w:ascii="Arial" w:cs="Arial" w:eastAsia="Arial" w:hAnsi="Arial"/>
          <w:color w:val="1A1A2E"/>
          <w:sz w:val="22"/>
          <w:szCs w:val="22"/>
        </w:rPr>
        <w:t xml:space="preserve"> If you open a repository you have joined as an author, you can see both current and previous repository structures and file contents (current and previous commits). You can add/modify/delete files/folders and can commit changes. You can either use an online IDE (through the application UI) to create and edit files (like .txt, .py, .js) or click a button “upload” to add files from your machine (like .png, .jpg, .pdf). You also have the option to “download” every file from the repository or the whole repository as a zip file.</w:t>
      </w:r>
    </w:p>
    <w:p>
      <w:pPr>
        <w:pStyle w:val="ListParagraph"/>
        <w:numPr>
          <w:ilvl w:val="0"/>
          <w:numId w:val="2"/>
        </w:numPr>
        <w:spacing w:before="60" w:after="60"/>
      </w:pPr>
      <w:r>
        <w:rPr>
          <w:rFonts w:ascii="Arial" w:cs="Arial" w:eastAsia="Arial" w:hAnsi="Arial"/>
          <w:b/>
          <w:bCs/>
          <w:color w:val="1A1A2E"/>
          <w:sz w:val="22"/>
          <w:szCs w:val="22"/>
        </w:rPr>
        <w:t xml:space="preserve">Reviewer:</w:t>
      </w:r>
      <w:r>
        <w:rPr>
          <w:rFonts w:ascii="Arial" w:cs="Arial" w:eastAsia="Arial" w:hAnsi="Arial"/>
          <w:color w:val="1A1A2E"/>
          <w:sz w:val="22"/>
          <w:szCs w:val="22"/>
        </w:rPr>
        <w:t xml:space="preserve"> If you open a repository you have joined as a reviewer, you can see what commits have been proposed and either approve or reject them. If several commits come from one parent commit and the reviewer approves one, the others get added to the commit history as “rejected” and get removed from the reviewer UI.</w:t>
      </w:r>
    </w:p>
    <w:p>
      <w:pPr>
        <w:pStyle w:val="ListParagraph"/>
        <w:numPr>
          <w:ilvl w:val="0"/>
          <w:numId w:val="2"/>
        </w:numPr>
        <w:spacing w:before="60" w:after="60"/>
      </w:pPr>
      <w:r>
        <w:rPr>
          <w:rFonts w:ascii="Arial" w:cs="Arial" w:eastAsia="Arial" w:hAnsi="Arial"/>
          <w:b/>
          <w:bCs/>
          <w:color w:val="1A1A2E"/>
          <w:sz w:val="22"/>
          <w:szCs w:val="22"/>
        </w:rPr>
        <w:t xml:space="preserve">Admin:</w:t>
      </w:r>
      <w:r>
        <w:rPr>
          <w:rFonts w:ascii="Arial" w:cs="Arial" w:eastAsia="Arial" w:hAnsi="Arial"/>
          <w:color w:val="1A1A2E"/>
          <w:sz w:val="22"/>
          <w:szCs w:val="22"/>
        </w:rPr>
        <w:t xml:space="preserve"> If you open one of your own repositories, you are automatically set to admin, which means you have all of the above permissions.</w:t>
      </w:r>
    </w:p>
    <w:p>
      <w:pPr>
        <w:pStyle w:val="ListParagraph"/>
        <w:numPr>
          <w:ilvl w:val="0"/>
          <w:numId w:val="2"/>
        </w:numPr>
        <w:spacing w:before="60" w:after="60"/>
      </w:pPr>
      <w:r>
        <w:rPr>
          <w:rFonts w:ascii="Arial" w:cs="Arial" w:eastAsia="Arial" w:hAnsi="Arial"/>
          <w:color w:val="1A1A2E"/>
          <w:sz w:val="22"/>
          <w:szCs w:val="22"/>
        </w:rPr>
        <w:t xml:space="preserve">Every role has their POV dedicated page — multiple files will be created in the frontend and not everything stuffed into one giant page.</w:t>
      </w:r>
    </w:p>
    <w:p>
      <w:pPr>
        <w:spacing w:before="80" w:after="0"/>
      </w:pPr>
      <w:r>
        <w:t xml:space="preserve"/>
      </w:r>
    </w:p>
    <w:p>
      <w:pPr>
        <w:pStyle w:val="Heading2"/>
        <w:spacing w:before="240" w:after="80"/>
      </w:pPr>
      <w:r>
        <w:rPr>
          <w:rFonts w:ascii="Arial" w:cs="Arial" w:eastAsia="Arial" w:hAnsi="Arial"/>
          <w:b/>
          <w:bCs/>
          <w:color w:val="1F4E79"/>
          <w:sz w:val="26"/>
          <w:szCs w:val="26"/>
        </w:rPr>
        <w:t xml:space="preserve">Authentication</w:t>
      </w:r>
    </w:p>
    <w:p>
      <w:pPr>
        <w:pStyle w:val="ListParagraph"/>
        <w:numPr>
          <w:ilvl w:val="0"/>
          <w:numId w:val="2"/>
        </w:numPr>
        <w:spacing w:before="60" w:after="60"/>
      </w:pPr>
      <w:r>
        <w:rPr>
          <w:rFonts w:ascii="Arial" w:cs="Arial" w:eastAsia="Arial" w:hAnsi="Arial"/>
          <w:b/>
          <w:bCs/>
          <w:color w:val="1A1A2E"/>
          <w:sz w:val="22"/>
          <w:szCs w:val="22"/>
        </w:rPr>
        <w:t xml:space="preserve">AWS Cognito</w:t>
      </w:r>
      <w:r>
        <w:rPr>
          <w:rFonts w:ascii="Arial" w:cs="Arial" w:eastAsia="Arial" w:hAnsi="Arial"/>
          <w:color w:val="1A1A2E"/>
          <w:sz w:val="22"/>
          <w:szCs w:val="22"/>
        </w:rPr>
        <w:t xml:space="preserve"> will be used with the following fields: user_id (sub), email, password for user authentication. A custom login/register page will be created via NextJS; the AWS Cognito default page will not be used.</w:t>
      </w:r>
    </w:p>
    <w:p>
      <w:pPr>
        <w:spacing w:before="80" w:after="0"/>
      </w:pPr>
      <w:r>
        <w:t xml:space="preserve"/>
      </w:r>
    </w:p>
    <w:p>
      <w:pPr>
        <w:pStyle w:val="Heading2"/>
        <w:spacing w:before="240" w:after="80"/>
      </w:pPr>
      <w:r>
        <w:rPr>
          <w:rFonts w:ascii="Arial" w:cs="Arial" w:eastAsia="Arial" w:hAnsi="Arial"/>
          <w:b/>
          <w:bCs/>
          <w:color w:val="1F4E79"/>
          <w:sz w:val="26"/>
          <w:szCs w:val="26"/>
        </w:rPr>
        <w:t xml:space="preserve">Database (RDS — PostgreSQL)</w:t>
      </w:r>
    </w:p>
    <w:p>
      <w:pPr>
        <w:pStyle w:val="ListParagraph"/>
        <w:numPr>
          <w:ilvl w:val="0"/>
          <w:numId w:val="2"/>
        </w:numPr>
        <w:spacing w:before="60" w:after="60"/>
      </w:pPr>
      <w:r>
        <w:rPr>
          <w:rFonts w:ascii="Arial" w:cs="Arial" w:eastAsia="Arial" w:hAnsi="Arial"/>
          <w:b/>
          <w:bCs/>
          <w:color w:val="1A1A2E"/>
          <w:sz w:val="22"/>
          <w:szCs w:val="22"/>
        </w:rPr>
        <w:t xml:space="preserve">Table 1 — User-Repo Associations:</w:t>
      </w:r>
      <w:r>
        <w:rPr>
          <w:rFonts w:ascii="Arial" w:cs="Arial" w:eastAsia="Arial" w:hAnsi="Arial"/>
          <w:color w:val="1A1A2E"/>
          <w:sz w:val="22"/>
          <w:szCs w:val="22"/>
        </w:rPr>
        <w:t xml:space="preserve"> id (PK), user_id (FK from Cognito), repo_id (FK), role. Shows relationships between users and repositories — one user can be in multiple repositories with a different role for each.</w:t>
      </w:r>
    </w:p>
    <w:p>
      <w:pPr>
        <w:pStyle w:val="ListParagraph"/>
        <w:numPr>
          <w:ilvl w:val="0"/>
          <w:numId w:val="2"/>
        </w:numPr>
        <w:spacing w:before="60" w:after="60"/>
      </w:pPr>
      <w:r>
        <w:rPr>
          <w:rFonts w:ascii="Arial" w:cs="Arial" w:eastAsia="Arial" w:hAnsi="Arial"/>
          <w:b/>
          <w:bCs/>
          <w:color w:val="1A1A2E"/>
          <w:sz w:val="22"/>
          <w:szCs w:val="22"/>
        </w:rPr>
        <w:t xml:space="preserve">Table 2 — Repository Metadata:</w:t>
      </w:r>
      <w:r>
        <w:rPr>
          <w:rFonts w:ascii="Arial" w:cs="Arial" w:eastAsia="Arial" w:hAnsi="Arial"/>
          <w:color w:val="1A1A2E"/>
          <w:sz w:val="22"/>
          <w:szCs w:val="22"/>
        </w:rPr>
        <w:t xml:space="preserve"> repo_id (PK), latest_commit_hash, repo_name, owner_id (FK), created_at, and other metadata.</w:t>
      </w:r>
    </w:p>
    <w:p>
      <w:pPr>
        <w:pStyle w:val="ListParagraph"/>
        <w:numPr>
          <w:ilvl w:val="0"/>
          <w:numId w:val="2"/>
        </w:numPr>
        <w:spacing w:before="60" w:after="60"/>
      </w:pPr>
      <w:r>
        <w:rPr>
          <w:rFonts w:ascii="Arial" w:cs="Arial" w:eastAsia="Arial" w:hAnsi="Arial"/>
          <w:b/>
          <w:bCs/>
          <w:color w:val="1A1A2E"/>
          <w:sz w:val="22"/>
          <w:szCs w:val="22"/>
        </w:rPr>
        <w:t xml:space="preserve">Table 3 — Trees:</w:t>
      </w:r>
      <w:r>
        <w:rPr>
          <w:rFonts w:ascii="Arial" w:cs="Arial" w:eastAsia="Arial" w:hAnsi="Arial"/>
          <w:color w:val="1A1A2E"/>
          <w:sz w:val="22"/>
          <w:szCs w:val="22"/>
        </w:rPr>
        <w:t xml:space="preserve"> id (PK), tree_hash. Stores tree objects only.</w:t>
      </w:r>
    </w:p>
    <w:p>
      <w:pPr>
        <w:pStyle w:val="ListParagraph"/>
        <w:numPr>
          <w:ilvl w:val="0"/>
          <w:numId w:val="2"/>
        </w:numPr>
        <w:spacing w:before="60" w:after="60"/>
      </w:pPr>
      <w:r>
        <w:rPr>
          <w:rFonts w:ascii="Arial" w:cs="Arial" w:eastAsia="Arial" w:hAnsi="Arial"/>
          <w:b/>
          <w:bCs/>
          <w:color w:val="1A1A2E"/>
          <w:sz w:val="22"/>
          <w:szCs w:val="22"/>
        </w:rPr>
        <w:t xml:space="preserve">Table 4 — Tree-Object Associations:</w:t>
      </w:r>
      <w:r>
        <w:rPr>
          <w:rFonts w:ascii="Arial" w:cs="Arial" w:eastAsia="Arial" w:hAnsi="Arial"/>
          <w:color w:val="1A1A2E"/>
          <w:sz w:val="22"/>
          <w:szCs w:val="22"/>
        </w:rPr>
        <w:t xml:space="preserve"> id (PK), tree_id (FK), type (blob or tree), name (file or folder name), content_hash. Associates a given tree with blobs or other trees to visualize repository structure at any point in time.</w:t>
      </w:r>
    </w:p>
    <w:p>
      <w:pPr>
        <w:pStyle w:val="ListParagraph"/>
        <w:numPr>
          <w:ilvl w:val="0"/>
          <w:numId w:val="2"/>
        </w:numPr>
        <w:spacing w:before="60" w:after="60"/>
      </w:pPr>
      <w:r>
        <w:rPr>
          <w:rFonts w:ascii="Arial" w:cs="Arial" w:eastAsia="Arial" w:hAnsi="Arial"/>
          <w:b/>
          <w:bCs/>
          <w:color w:val="1A1A2E"/>
          <w:sz w:val="22"/>
          <w:szCs w:val="22"/>
        </w:rPr>
        <w:t xml:space="preserve">Table 5 — Commit Information:</w:t>
      </w:r>
      <w:r>
        <w:rPr>
          <w:rFonts w:ascii="Arial" w:cs="Arial" w:eastAsia="Arial" w:hAnsi="Arial"/>
          <w:color w:val="1A1A2E"/>
          <w:sz w:val="22"/>
          <w:szCs w:val="22"/>
        </w:rPr>
        <w:t xml:space="preserve"> id (PK), commit_hash, status (approved / rejected / pending), parent_commit_hash, tree_id (FK), repo_id (FK), owner_id (FK), timestamp.</w:t>
      </w:r>
    </w:p>
    <w:p>
      <w:pPr>
        <w:spacing w:before="80" w:after="0"/>
      </w:pPr>
      <w:r>
        <w:t xml:space="preserve"/>
      </w:r>
    </w:p>
    <w:p>
      <w:pPr>
        <w:pStyle w:val="ListParagraph"/>
        <w:numPr>
          <w:ilvl w:val="0"/>
          <w:numId w:val="2"/>
        </w:numPr>
        <w:spacing w:before="60" w:after="60"/>
      </w:pPr>
      <w:r>
        <w:rPr>
          <w:rFonts w:ascii="Arial" w:cs="Arial" w:eastAsia="Arial" w:hAnsi="Arial"/>
          <w:color w:val="1A1A2E"/>
          <w:sz w:val="22"/>
          <w:szCs w:val="22"/>
        </w:rPr>
        <w:t xml:space="preserve">ORM (SQLModel) will integrate the RDS database in the backend. Alembic will handle database migrations following industry standard practices.</w:t>
      </w:r>
    </w:p>
    <w:p>
      <w:pPr>
        <w:spacing w:before="80" w:after="0"/>
      </w:pPr>
      <w:r>
        <w:t xml:space="preserve"/>
      </w:r>
    </w:p>
    <w:p>
      <w:pPr>
        <w:pStyle w:val="Heading2"/>
        <w:spacing w:before="240" w:after="80"/>
      </w:pPr>
      <w:r>
        <w:rPr>
          <w:rFonts w:ascii="Arial" w:cs="Arial" w:eastAsia="Arial" w:hAnsi="Arial"/>
          <w:b/>
          <w:bCs/>
          <w:color w:val="1F4E79"/>
          <w:sz w:val="26"/>
          <w:szCs w:val="26"/>
        </w:rPr>
        <w:t xml:space="preserve">Storage and File System</w:t>
      </w:r>
    </w:p>
    <w:p>
      <w:pPr>
        <w:pStyle w:val="ListParagraph"/>
        <w:numPr>
          <w:ilvl w:val="0"/>
          <w:numId w:val="2"/>
        </w:numPr>
        <w:spacing w:before="60" w:after="60"/>
      </w:pPr>
      <w:r>
        <w:rPr>
          <w:rFonts w:ascii="Arial" w:cs="Arial" w:eastAsia="Arial" w:hAnsi="Arial"/>
          <w:b/>
          <w:bCs/>
          <w:color w:val="1A1A2E"/>
          <w:sz w:val="22"/>
          <w:szCs w:val="22"/>
        </w:rPr>
        <w:t xml:space="preserve">S3</w:t>
      </w:r>
      <w:r>
        <w:rPr>
          <w:rFonts w:ascii="Arial" w:cs="Arial" w:eastAsia="Arial" w:hAnsi="Arial"/>
          <w:color w:val="1A1A2E"/>
          <w:sz w:val="22"/>
          <w:szCs w:val="22"/>
        </w:rPr>
        <w:t xml:space="preserve"> stores permanent, versioned blob content (committed files).</w:t>
      </w:r>
    </w:p>
    <w:p>
      <w:pPr>
        <w:pStyle w:val="ListParagraph"/>
        <w:numPr>
          <w:ilvl w:val="0"/>
          <w:numId w:val="2"/>
        </w:numPr>
        <w:spacing w:before="60" w:after="60"/>
      </w:pPr>
      <w:r>
        <w:rPr>
          <w:rFonts w:ascii="Arial" w:cs="Arial" w:eastAsia="Arial" w:hAnsi="Arial"/>
          <w:b/>
          <w:bCs/>
          <w:color w:val="1A1A2E"/>
          <w:sz w:val="22"/>
          <w:szCs w:val="22"/>
        </w:rPr>
        <w:t xml:space="preserve">EFS</w:t>
      </w:r>
      <w:r>
        <w:rPr>
          <w:rFonts w:ascii="Arial" w:cs="Arial" w:eastAsia="Arial" w:hAnsi="Arial"/>
          <w:color w:val="1A1A2E"/>
          <w:sz w:val="22"/>
          <w:szCs w:val="22"/>
        </w:rPr>
        <w:t xml:space="preserve"> stores all users’ current in-progress changes (e.g. /mnt/efs/drafts/{user_id}/{repo_id}/). When a user edits a file and presses ‘Save’, the backend writes changes to EFS. All EC2 instances have access to EFS.</w:t>
      </w:r>
    </w:p>
    <w:p>
      <w:pPr>
        <w:pStyle w:val="ListParagraph"/>
        <w:numPr>
          <w:ilvl w:val="0"/>
          <w:numId w:val="2"/>
        </w:numPr>
        <w:spacing w:before="60" w:after="60"/>
      </w:pPr>
      <w:r>
        <w:rPr>
          <w:rFonts w:ascii="Arial" w:cs="Arial" w:eastAsia="Arial" w:hAnsi="Arial"/>
          <w:b/>
          <w:bCs/>
          <w:color w:val="1A1A2E"/>
          <w:sz w:val="22"/>
          <w:szCs w:val="22"/>
        </w:rPr>
        <w:t xml:space="preserve">Local development:</w:t>
      </w:r>
      <w:r>
        <w:rPr>
          <w:rFonts w:ascii="Arial" w:cs="Arial" w:eastAsia="Arial" w:hAnsi="Arial"/>
          <w:color w:val="1A1A2E"/>
          <w:sz w:val="22"/>
          <w:szCs w:val="22"/>
        </w:rPr>
        <w:t xml:space="preserve"> EFS is substituted with bind mounts when running via docker-compose. Both local and production environments interact with real AWS cloud resources — the only difference is container location (local machine vs EKS).</w:t>
      </w:r>
    </w:p>
    <w:p>
      <w:pPr>
        <w:spacing w:before="80" w:after="0"/>
      </w:pPr>
      <w:r>
        <w:t xml:space="preserve"/>
      </w:r>
    </w:p>
    <w:p>
      <w:pPr>
        <w:pStyle w:val="Heading2"/>
        <w:spacing w:before="240" w:after="80"/>
      </w:pPr>
      <w:r>
        <w:rPr>
          <w:rFonts w:ascii="Arial" w:cs="Arial" w:eastAsia="Arial" w:hAnsi="Arial"/>
          <w:b/>
          <w:bCs/>
          <w:color w:val="1F4E79"/>
          <w:sz w:val="26"/>
          <w:szCs w:val="26"/>
        </w:rPr>
        <w:t xml:space="preserve">Author View and Edit Modes</w:t>
      </w:r>
    </w:p>
    <w:p>
      <w:pPr>
        <w:pStyle w:val="ListParagraph"/>
        <w:numPr>
          <w:ilvl w:val="0"/>
          <w:numId w:val="2"/>
        </w:numPr>
        <w:spacing w:before="60" w:after="60"/>
      </w:pPr>
      <w:r>
        <w:rPr>
          <w:rFonts w:ascii="Arial" w:cs="Arial" w:eastAsia="Arial" w:hAnsi="Arial"/>
          <w:b/>
          <w:bCs/>
          <w:color w:val="1A1A2E"/>
          <w:sz w:val="22"/>
          <w:szCs w:val="22"/>
        </w:rPr>
        <w:t xml:space="preserve">View mode:</w:t>
      </w:r>
      <w:r>
        <w:rPr>
          <w:rFonts w:ascii="Arial" w:cs="Arial" w:eastAsia="Arial" w:hAnsi="Arial"/>
          <w:color w:val="1A1A2E"/>
          <w:sz w:val="22"/>
          <w:szCs w:val="22"/>
        </w:rPr>
        <w:t xml:space="preserve"> The backend fetches repository content from RDS and S3. No changes can be made.</w:t>
      </w:r>
    </w:p>
    <w:p>
      <w:pPr>
        <w:pStyle w:val="ListParagraph"/>
        <w:numPr>
          <w:ilvl w:val="0"/>
          <w:numId w:val="2"/>
        </w:numPr>
        <w:spacing w:before="60" w:after="60"/>
      </w:pPr>
      <w:r>
        <w:rPr>
          <w:rFonts w:ascii="Arial" w:cs="Arial" w:eastAsia="Arial" w:hAnsi="Arial"/>
          <w:b/>
          <w:bCs/>
          <w:color w:val="1A1A2E"/>
          <w:sz w:val="22"/>
          <w:szCs w:val="22"/>
        </w:rPr>
        <w:t xml:space="preserve">Edit mode:</w:t>
      </w:r>
      <w:r>
        <w:rPr>
          <w:rFonts w:ascii="Arial" w:cs="Arial" w:eastAsia="Arial" w:hAnsi="Arial"/>
          <w:color w:val="1A1A2E"/>
          <w:sz w:val="22"/>
          <w:szCs w:val="22"/>
        </w:rPr>
        <w:t xml:space="preserve"> The backend first fetches the repo structure from EFS (or bind mount locally), then overlays files from RDS and S3. For example, if the current repo has a.txt and b.txt in /src/, and the author has already edited a.txt and added c.txt, the UI will first load a.txt and c.txt from EFS/bind mount and then load b.txt from RDS and S3.</w:t>
      </w:r>
    </w:p>
    <w:p>
      <w:pPr>
        <w:spacing w:before="80" w:after="0"/>
      </w:pPr>
      <w:r>
        <w:t xml:space="preserve"/>
      </w:r>
    </w:p>
    <w:p>
      <w:pPr>
        <w:pStyle w:val="Heading2"/>
        <w:spacing w:before="240" w:after="80"/>
      </w:pPr>
      <w:r>
        <w:rPr>
          <w:rFonts w:ascii="Arial" w:cs="Arial" w:eastAsia="Arial" w:hAnsi="Arial"/>
          <w:b/>
          <w:bCs/>
          <w:color w:val="1F4E79"/>
          <w:sz w:val="26"/>
          <w:szCs w:val="26"/>
        </w:rPr>
        <w:t xml:space="preserve">Infrastructure</w:t>
      </w:r>
    </w:p>
    <w:p>
      <w:pPr>
        <w:pStyle w:val="ListParagraph"/>
        <w:numPr>
          <w:ilvl w:val="0"/>
          <w:numId w:val="2"/>
        </w:numPr>
        <w:spacing w:before="60" w:after="60"/>
      </w:pPr>
      <w:r>
        <w:rPr>
          <w:rFonts w:ascii="Arial" w:cs="Arial" w:eastAsia="Arial" w:hAnsi="Arial"/>
          <w:color w:val="1A1A2E"/>
          <w:sz w:val="22"/>
          <w:szCs w:val="22"/>
        </w:rPr>
        <w:t xml:space="preserve">The backend follows the APIRouter pattern and is split into 3 microservices: identity-service, repo-service, and workflow-service.</w:t>
      </w:r>
    </w:p>
    <w:p>
      <w:pPr>
        <w:pStyle w:val="ListParagraph"/>
        <w:numPr>
          <w:ilvl w:val="0"/>
          <w:numId w:val="2"/>
        </w:numPr>
        <w:spacing w:before="60" w:after="60"/>
      </w:pPr>
      <w:r>
        <w:rPr>
          <w:rFonts w:ascii="Arial" w:cs="Arial" w:eastAsia="Arial" w:hAnsi="Arial"/>
          <w:color w:val="1A1A2E"/>
          <w:sz w:val="22"/>
          <w:szCs w:val="22"/>
        </w:rPr>
        <w:t xml:space="preserve">A docker-compose file combines all containers for local development — navigating to localhost shows the full working app.</w:t>
      </w:r>
    </w:p>
    <w:p>
      <w:pPr>
        <w:pStyle w:val="ListParagraph"/>
        <w:numPr>
          <w:ilvl w:val="0"/>
          <w:numId w:val="2"/>
        </w:numPr>
        <w:spacing w:before="60" w:after="60"/>
      </w:pPr>
      <w:r>
        <w:rPr>
          <w:rFonts w:ascii="Arial" w:cs="Arial" w:eastAsia="Arial" w:hAnsi="Arial"/>
          <w:b/>
          <w:bCs/>
          <w:color w:val="1A1A2E"/>
          <w:sz w:val="22"/>
          <w:szCs w:val="22"/>
        </w:rPr>
        <w:t xml:space="preserve">EKS</w:t>
      </w:r>
      <w:r>
        <w:rPr>
          <w:rFonts w:ascii="Arial" w:cs="Arial" w:eastAsia="Arial" w:hAnsi="Arial"/>
          <w:color w:val="1A1A2E"/>
          <w:sz w:val="22"/>
          <w:szCs w:val="22"/>
        </w:rPr>
        <w:t xml:space="preserve"> manages the production application with High Availability, Scalability, and Load Balancing via Cluster Autoscaler/Karpenter, HPA (Horizontal Pod Autoscaler), and the ALB Ingress Controller.</w:t>
      </w:r>
    </w:p>
    <w:p>
      <w:pPr>
        <w:pStyle w:val="ListParagraph"/>
        <w:numPr>
          <w:ilvl w:val="0"/>
          <w:numId w:val="2"/>
        </w:numPr>
        <w:spacing w:before="60" w:after="60"/>
      </w:pPr>
      <w:r>
        <w:rPr>
          <w:rFonts w:ascii="Arial" w:cs="Arial" w:eastAsia="Arial" w:hAnsi="Arial"/>
          <w:b/>
          <w:bCs/>
          <w:color w:val="1A1A2E"/>
          <w:sz w:val="22"/>
          <w:szCs w:val="22"/>
        </w:rPr>
        <w:t xml:space="preserve">Route53</w:t>
      </w:r>
      <w:r>
        <w:rPr>
          <w:rFonts w:ascii="Arial" w:cs="Arial" w:eastAsia="Arial" w:hAnsi="Arial"/>
          <w:color w:val="1A1A2E"/>
          <w:sz w:val="22"/>
          <w:szCs w:val="22"/>
        </w:rPr>
        <w:t xml:space="preserve"> provides a public URL with HTTPS (via ACM) and DNSSEC configured.</w:t>
      </w:r>
    </w:p>
    <w:p>
      <w:pPr>
        <w:pStyle w:val="ListParagraph"/>
        <w:numPr>
          <w:ilvl w:val="0"/>
          <w:numId w:val="2"/>
        </w:numPr>
        <w:spacing w:before="60" w:after="60"/>
      </w:pPr>
      <w:r>
        <w:rPr>
          <w:rFonts w:ascii="Arial" w:cs="Arial" w:eastAsia="Arial" w:hAnsi="Arial"/>
          <w:b/>
          <w:bCs/>
          <w:color w:val="1A1A2E"/>
          <w:sz w:val="22"/>
          <w:szCs w:val="22"/>
        </w:rPr>
        <w:t xml:space="preserve">CloudFront</w:t>
      </w:r>
      <w:r>
        <w:rPr>
          <w:rFonts w:ascii="Arial" w:cs="Arial" w:eastAsia="Arial" w:hAnsi="Arial"/>
          <w:color w:val="1A1A2E"/>
          <w:sz w:val="22"/>
          <w:szCs w:val="22"/>
        </w:rPr>
        <w:t xml:space="preserve"> sits in front of S3 as the sole entry point for file delivery. The S3 bucket is fully private — no direct public access. File URLs are served as CloudFront signed URLs (generated using a CloudFront key pair stored in AWS Secrets Manager), ensuring all file access is accelerated, cached, and auditable.</w:t>
      </w:r>
    </w:p>
    <w:p>
      <w:pPr>
        <w:pBdr>
          <w:left w:val="single" w:color="22C55E" w:sz="12" w:space="8"/>
        </w:pBdr>
        <w:spacing w:before="100" w:after="40"/>
        <w:ind w:left="200"/>
      </w:pPr>
      <w:r>
        <w:rPr>
          <w:rFonts w:ascii="Arial" w:cs="Arial" w:eastAsia="Arial" w:hAnsi="Arial"/>
          <w:b/>
          <w:bCs/>
          <w:color w:val="166534"/>
          <w:sz w:val="20"/>
          <w:szCs w:val="20"/>
        </w:rPr>
        <w:t xml:space="preserve">  ⚠️  Resolved: CloudFront + Signed URLs</w:t>
      </w:r>
    </w:p>
    <w:p>
      <w:pPr>
        <w:pStyle w:val="ListParagraph"/>
        <w:numPr>
          <w:ilvl w:val="0"/>
          <w:numId w:val="3"/>
        </w:numPr>
        <w:spacing w:before="30" w:after="30"/>
        <w:ind w:left="400"/>
      </w:pPr>
      <w:r>
        <w:rPr>
          <w:rFonts w:ascii="Arial" w:cs="Arial" w:eastAsia="Arial" w:hAnsi="Arial"/>
          <w:color w:val="166534"/>
          <w:sz w:val="20"/>
          <w:szCs w:val="20"/>
        </w:rPr>
        <w:t xml:space="preserve">S3 pre-signed URLs bypass CloudFront’s cache and provide no CDN benefit. The correct approach is to use CloudFront signed URLs exclusively. The S3 bucket must be fully private with CloudFront as the only access point. The key pair is fetched from Secrets Manager at service startup.</w:t>
      </w:r>
    </w:p>
    <w:p>
      <w:pPr>
        <w:spacing w:before="80" w:after="0"/>
      </w:pPr>
      <w:r>
        <w:t xml:space="preserve"/>
      </w:r>
    </w:p>
    <w:p>
      <w:pPr>
        <w:pStyle w:val="Heading1"/>
        <w:spacing w:before="360" w:after="120"/>
      </w:pPr>
      <w:r>
        <w:rPr>
          <w:rFonts w:ascii="Arial" w:cs="Arial" w:eastAsia="Arial" w:hAnsi="Arial"/>
          <w:b/>
          <w:bCs/>
          <w:color w:val="2E5FA3"/>
          <w:sz w:val="32"/>
          <w:szCs w:val="32"/>
        </w:rPr>
        <w:t xml:space="preserve">2. Microservice Responsibility Split</w:t>
      </w:r>
    </w:p>
    <w:p>
      <w:pPr>
        <w:pStyle w:val="Heading2"/>
        <w:spacing w:before="240" w:after="80"/>
      </w:pPr>
      <w:r>
        <w:rPr>
          <w:rFonts w:ascii="Arial" w:cs="Arial" w:eastAsia="Arial" w:hAnsi="Arial"/>
          <w:b/>
          <w:bCs/>
          <w:color w:val="1F4E79"/>
          <w:sz w:val="26"/>
          <w:szCs w:val="26"/>
        </w:rPr>
        <w:t xml:space="preserve">2.1  Identity-Service (The Gatekeeper)</w:t>
      </w:r>
    </w:p>
    <w:p>
      <w:pPr>
        <w:spacing w:before="60" w:after="60"/>
      </w:pPr>
      <w:r>
        <w:rPr>
          <w:rFonts w:ascii="Arial" w:cs="Arial" w:eastAsia="Arial" w:hAnsi="Arial"/>
          <w:b/>
          <w:bCs/>
          <w:color w:val="1A1A2E"/>
          <w:sz w:val="22"/>
          <w:szCs w:val="22"/>
        </w:rPr>
        <w:t xml:space="preserve">Responsibility:</w:t>
      </w:r>
      <w:r>
        <w:rPr>
          <w:rFonts w:ascii="Arial" w:cs="Arial" w:eastAsia="Arial" w:hAnsi="Arial"/>
          <w:color w:val="1A1A2E"/>
          <w:sz w:val="22"/>
          <w:szCs w:val="22"/>
        </w:rPr>
        <w:t xml:space="preserve"> Authoritative source for User Identity and Repo Permissions. Acts as the bridge to AWS Cognito and manages JWT issuance. Utilizes Cognito Post-Confirmation Triggers to ensure Table 1 (Associations) remains the source of truth for repository access.</w:t>
      </w:r>
    </w:p>
    <w:p>
      <w:pPr>
        <w:spacing w:before="80" w:after="0"/>
      </w:pPr>
      <w:r>
        <w:t xml:space="preserve"/>
      </w:r>
    </w:p>
    <w:p>
      <w:pPr>
        <w:pStyle w:val="Heading3"/>
        <w:spacing w:before="160" w:after="60"/>
      </w:pPr>
      <w:r>
        <w:rPr>
          <w:rFonts w:ascii="Arial" w:cs="Arial" w:eastAsia="Arial" w:hAnsi="Arial"/>
          <w:b/>
          <w:bCs/>
          <w:color w:val="2E5FA3"/>
          <w:sz w:val="22"/>
          <w:szCs w:val="22"/>
        </w:rPr>
        <w:t xml:space="preserve">Key Endpoints</w:t>
      </w:r>
    </w:p>
    <w:p>
      <w:pPr>
        <w:pStyle w:val="ListParagraph"/>
        <w:numPr>
          <w:ilvl w:val="0"/>
          <w:numId w:val="2"/>
        </w:numPr>
        <w:spacing w:before="60" w:after="60"/>
      </w:pPr>
      <w:r>
        <w:rPr>
          <w:rFonts w:ascii="Arial" w:cs="Arial" w:eastAsia="Arial" w:hAnsi="Arial"/>
          <w:color w:val="1A1A2E"/>
          <w:sz w:val="22"/>
          <w:szCs w:val="22"/>
        </w:rPr>
        <w:t xml:space="preserve">POST /v1/auth/register — Orchestrates user creation in Cognito and initializes metadata.</w:t>
      </w:r>
    </w:p>
    <w:p>
      <w:pPr>
        <w:pStyle w:val="ListParagraph"/>
        <w:numPr>
          <w:ilvl w:val="0"/>
          <w:numId w:val="2"/>
        </w:numPr>
        <w:spacing w:before="60" w:after="60"/>
      </w:pPr>
      <w:r>
        <w:rPr>
          <w:rFonts w:ascii="Arial" w:cs="Arial" w:eastAsia="Arial" w:hAnsi="Arial"/>
          <w:b/>
          <w:bCs/>
          <w:color w:val="1A1A2E"/>
          <w:sz w:val="22"/>
          <w:szCs w:val="22"/>
        </w:rPr>
        <w:t xml:space="preserve">POST /v1/auth/login</w:t>
      </w:r>
      <w:r>
        <w:rPr>
          <w:rFonts w:ascii="Arial" w:cs="Arial" w:eastAsia="Arial" w:hAnsi="Arial"/>
          <w:color w:val="1A1A2E"/>
          <w:sz w:val="22"/>
          <w:szCs w:val="22"/>
        </w:rPr>
        <w:t xml:space="preserve"> — Issues the JWT Passport. The payload includes a roles claim containing a map of repo_id: role for stateless authorization by downstream services.</w:t>
      </w:r>
    </w:p>
    <w:p>
      <w:pPr>
        <w:pStyle w:val="ListParagraph"/>
        <w:numPr>
          <w:ilvl w:val="0"/>
          <w:numId w:val="2"/>
        </w:numPr>
        <w:spacing w:before="60" w:after="60"/>
      </w:pPr>
      <w:r>
        <w:rPr>
          <w:rFonts w:ascii="Arial" w:cs="Arial" w:eastAsia="Arial" w:hAnsi="Arial"/>
          <w:color w:val="1A1A2E"/>
          <w:sz w:val="22"/>
          <w:szCs w:val="22"/>
        </w:rPr>
        <w:t xml:space="preserve">POST /v1/auth/refresh — Rotates short-lived access tokens using Cognito refresh tokens.</w:t>
      </w:r>
    </w:p>
    <w:p>
      <w:pPr>
        <w:pStyle w:val="ListParagraph"/>
        <w:numPr>
          <w:ilvl w:val="0"/>
          <w:numId w:val="2"/>
        </w:numPr>
        <w:spacing w:before="60" w:after="60"/>
      </w:pPr>
      <w:r>
        <w:rPr>
          <w:rFonts w:ascii="Arial" w:cs="Arial" w:eastAsia="Arial" w:hAnsi="Arial"/>
          <w:color w:val="1A1A2E"/>
          <w:sz w:val="22"/>
          <w:szCs w:val="22"/>
        </w:rPr>
        <w:t xml:space="preserve">GET /v1/users/me/repos — Queries Table 1 to provide the dashboard with the user’s accessible repositories.</w:t>
      </w:r>
    </w:p>
    <w:p>
      <w:pPr>
        <w:pStyle w:val="ListParagraph"/>
        <w:numPr>
          <w:ilvl w:val="0"/>
          <w:numId w:val="2"/>
        </w:numPr>
        <w:spacing w:before="60" w:after="60"/>
      </w:pPr>
      <w:r>
        <w:rPr>
          <w:rFonts w:ascii="Arial" w:cs="Arial" w:eastAsia="Arial" w:hAnsi="Arial"/>
          <w:color w:val="1A1A2E"/>
          <w:sz w:val="22"/>
          <w:szCs w:val="22"/>
        </w:rPr>
        <w:t xml:space="preserve">POST /v1/repos/{id}/invites — Generates a cryptographically secure token and triggers AWS SES for email delivery.</w:t>
      </w:r>
    </w:p>
    <w:p>
      <w:pPr>
        <w:pStyle w:val="ListParagraph"/>
        <w:numPr>
          <w:ilvl w:val="0"/>
          <w:numId w:val="2"/>
        </w:numPr>
        <w:spacing w:before="60" w:after="60"/>
      </w:pPr>
      <w:r>
        <w:rPr>
          <w:rFonts w:ascii="Arial" w:cs="Arial" w:eastAsia="Arial" w:hAnsi="Arial"/>
          <w:color w:val="1A1A2E"/>
          <w:sz w:val="22"/>
          <w:szCs w:val="22"/>
        </w:rPr>
        <w:t xml:space="preserve">POST /v1/invites/accept/{token} — Validates the invite and writes the new association to Table 1.</w:t>
      </w:r>
    </w:p>
    <w:p>
      <w:pPr>
        <w:pStyle w:val="ListParagraph"/>
        <w:numPr>
          <w:ilvl w:val="0"/>
          <w:numId w:val="2"/>
        </w:numPr>
        <w:spacing w:before="60" w:after="60"/>
      </w:pPr>
      <w:r>
        <w:rPr>
          <w:rFonts w:ascii="Arial" w:cs="Arial" w:eastAsia="Arial" w:hAnsi="Arial"/>
          <w:b/>
          <w:bCs/>
          <w:color w:val="1A1A2E"/>
          <w:sz w:val="22"/>
          <w:szCs w:val="22"/>
        </w:rPr>
        <w:t xml:space="preserve">Internal:</w:t>
      </w:r>
      <w:r>
        <w:rPr>
          <w:rFonts w:ascii="Arial" w:cs="Arial" w:eastAsia="Arial" w:hAnsi="Arial"/>
          <w:color w:val="1A1A2E"/>
          <w:sz w:val="22"/>
          <w:szCs w:val="22"/>
        </w:rPr>
        <w:t xml:space="preserve"> POST /v1/internal/memberships — Synchronous endpoint used by Workflow-Service to assign “Admin” to a user upon repo creation.</w:t>
      </w:r>
    </w:p>
    <w:p>
      <w:pPr>
        <w:pBdr>
          <w:left w:val="single" w:color="22C55E" w:sz="12" w:space="8"/>
        </w:pBdr>
        <w:spacing w:before="100" w:after="40"/>
        <w:ind w:left="200"/>
      </w:pPr>
      <w:r>
        <w:rPr>
          <w:rFonts w:ascii="Arial" w:cs="Arial" w:eastAsia="Arial" w:hAnsi="Arial"/>
          <w:b/>
          <w:bCs/>
          <w:color w:val="166534"/>
          <w:sz w:val="20"/>
          <w:szCs w:val="20"/>
        </w:rPr>
        <w:t xml:space="preserve">  ⚠️  Resolved: JWT Payload Size</w:t>
      </w:r>
    </w:p>
    <w:p>
      <w:pPr>
        <w:pStyle w:val="ListParagraph"/>
        <w:numPr>
          <w:ilvl w:val="0"/>
          <w:numId w:val="3"/>
        </w:numPr>
        <w:spacing w:before="30" w:after="30"/>
        <w:ind w:left="400"/>
      </w:pPr>
      <w:r>
        <w:rPr>
          <w:rFonts w:ascii="Arial" w:cs="Arial" w:eastAsia="Arial" w:hAnsi="Arial"/>
          <w:color w:val="166534"/>
          <w:sz w:val="20"/>
          <w:szCs w:val="20"/>
        </w:rPr>
        <w:t xml:space="preserve">Embedding a full repo_id → role map in the JWT payload grows unbounded as a user joins more repositories.</w:t>
      </w:r>
    </w:p>
    <w:p>
      <w:pPr>
        <w:pStyle w:val="ListParagraph"/>
        <w:numPr>
          <w:ilvl w:val="0"/>
          <w:numId w:val="3"/>
        </w:numPr>
        <w:spacing w:before="30" w:after="30"/>
        <w:ind w:left="400"/>
      </w:pPr>
      <w:r>
        <w:rPr>
          <w:rFonts w:ascii="Arial" w:cs="Arial" w:eastAsia="Arial" w:hAnsi="Arial"/>
          <w:color w:val="166534"/>
          <w:sz w:val="20"/>
          <w:szCs w:val="20"/>
        </w:rPr>
        <w:t xml:space="preserve">Solution: Use a lightweight JWT containing only user_id and a repo_count hint. On the first request to a protected repo endpoint, the relevant service calls Identity-Service (or queries Table 1 via a read replica) to fetch the role for that specific repo, then caches the result in-memory with a TTL matching the JWT expiry. The token never bloats and the role lookup is only done once per session per repo.</w:t>
      </w:r>
    </w:p>
    <w:p>
      <w:pPr>
        <w:spacing w:before="80" w:after="0"/>
      </w:pPr>
      <w:r>
        <w:t xml:space="preserve"/>
      </w:r>
    </w:p>
    <w:p>
      <w:pPr>
        <w:pStyle w:val="Heading2"/>
        <w:spacing w:before="240" w:after="80"/>
      </w:pPr>
      <w:r>
        <w:rPr>
          <w:rFonts w:ascii="Arial" w:cs="Arial" w:eastAsia="Arial" w:hAnsi="Arial"/>
          <w:b/>
          <w:bCs/>
          <w:color w:val="1F4E79"/>
          <w:sz w:val="26"/>
          <w:szCs w:val="26"/>
        </w:rPr>
        <w:t xml:space="preserve">2.2  Repo-Service (The IO Hub)</w:t>
      </w:r>
    </w:p>
    <w:p>
      <w:pPr>
        <w:spacing w:before="60" w:after="60"/>
      </w:pPr>
      <w:r>
        <w:rPr>
          <w:rFonts w:ascii="Arial" w:cs="Arial" w:eastAsia="Arial" w:hAnsi="Arial"/>
          <w:b/>
          <w:bCs/>
          <w:color w:val="1A1A2E"/>
          <w:sz w:val="22"/>
          <w:szCs w:val="22"/>
        </w:rPr>
        <w:t xml:space="preserve">Responsibility:</w:t>
      </w:r>
      <w:r>
        <w:rPr>
          <w:rFonts w:ascii="Arial" w:cs="Arial" w:eastAsia="Arial" w:hAnsi="Arial"/>
          <w:color w:val="1A1A2E"/>
          <w:sz w:val="22"/>
          <w:szCs w:val="22"/>
        </w:rPr>
        <w:t xml:space="preserve"> The “Overlay File System.” Manages the intersection of transient drafts (EFS/Bind Mounts) and permanent versioned data (S3). Utilizes asynchronous workers for heavy I/O tasks to keep the online IDE responsive.</w:t>
      </w:r>
    </w:p>
    <w:p>
      <w:pPr>
        <w:spacing w:before="80" w:after="0"/>
      </w:pPr>
      <w:r>
        <w:t xml:space="preserve"/>
      </w:r>
    </w:p>
    <w:p>
      <w:pPr>
        <w:pStyle w:val="Heading3"/>
        <w:spacing w:before="160" w:after="60"/>
      </w:pPr>
      <w:r>
        <w:rPr>
          <w:rFonts w:ascii="Arial" w:cs="Arial" w:eastAsia="Arial" w:hAnsi="Arial"/>
          <w:b/>
          <w:bCs/>
          <w:color w:val="2E5FA3"/>
          <w:sz w:val="22"/>
          <w:szCs w:val="22"/>
        </w:rPr>
        <w:t xml:space="preserve">Key Endpoints</w:t>
      </w:r>
    </w:p>
    <w:p>
      <w:pPr>
        <w:pStyle w:val="ListParagraph"/>
        <w:numPr>
          <w:ilvl w:val="0"/>
          <w:numId w:val="2"/>
        </w:numPr>
        <w:spacing w:before="60" w:after="60"/>
      </w:pPr>
      <w:r>
        <w:rPr>
          <w:rFonts w:ascii="Arial" w:cs="Arial" w:eastAsia="Arial" w:hAnsi="Arial"/>
          <w:b/>
          <w:bCs/>
          <w:color w:val="1A1A2E"/>
          <w:sz w:val="22"/>
          <w:szCs w:val="22"/>
        </w:rPr>
        <w:t xml:space="preserve">GET /v1/repos/{id}/explorer?mode={view|edit}</w:t>
      </w:r>
      <w:r>
        <w:rPr>
          <w:rFonts w:ascii="Arial" w:cs="Arial" w:eastAsia="Arial" w:hAnsi="Arial"/>
          <w:color w:val="1A1A2E"/>
          <w:sz w:val="22"/>
          <w:szCs w:val="22"/>
        </w:rPr>
        <w:t xml:space="preserve"> — Returns a merged directory tree. In view mode, provides CloudFront signed URLs for files. In edit mode, prioritizes files found in the DRAFT_STORAGE_PATH (EFS/Bind Mount).</w:t>
      </w:r>
    </w:p>
    <w:p>
      <w:pPr>
        <w:pStyle w:val="ListParagraph"/>
        <w:numPr>
          <w:ilvl w:val="0"/>
          <w:numId w:val="2"/>
        </w:numPr>
        <w:spacing w:before="60" w:after="60"/>
      </w:pPr>
      <w:r>
        <w:rPr>
          <w:rFonts w:ascii="Arial" w:cs="Arial" w:eastAsia="Arial" w:hAnsi="Arial"/>
          <w:color w:val="1A1A2E"/>
          <w:sz w:val="22"/>
          <w:szCs w:val="22"/>
        </w:rPr>
        <w:t xml:space="preserve">POST /v1/repos/{id}/drafts/save — Writes IDE text changes directly to the EFS draft path using non-blocking I/O.</w:t>
      </w:r>
    </w:p>
    <w:p>
      <w:pPr>
        <w:pStyle w:val="ListParagraph"/>
        <w:numPr>
          <w:ilvl w:val="0"/>
          <w:numId w:val="2"/>
        </w:numPr>
        <w:spacing w:before="60" w:after="60"/>
      </w:pPr>
      <w:r>
        <w:rPr>
          <w:rFonts w:ascii="Arial" w:cs="Arial" w:eastAsia="Arial" w:hAnsi="Arial"/>
          <w:color w:val="1A1A2E"/>
          <w:sz w:val="22"/>
          <w:szCs w:val="22"/>
        </w:rPr>
        <w:t xml:space="preserve">POST /v1/repos/{id}/drafts/upload — Handles multipart binary uploads (images, PDFs) to the draft folder.</w:t>
      </w:r>
    </w:p>
    <w:p>
      <w:pPr>
        <w:pStyle w:val="ListParagraph"/>
        <w:numPr>
          <w:ilvl w:val="0"/>
          <w:numId w:val="2"/>
        </w:numPr>
        <w:spacing w:before="60" w:after="60"/>
      </w:pPr>
      <w:r>
        <w:rPr>
          <w:rFonts w:ascii="Arial" w:cs="Arial" w:eastAsia="Arial" w:hAnsi="Arial"/>
          <w:color w:val="1A1A2E"/>
          <w:sz w:val="22"/>
          <w:szCs w:val="22"/>
        </w:rPr>
        <w:t xml:space="preserve">GET /v1/repos/{id}/archive — Returns 202 Accepted with a task_id. An internal worker zips the current hybrid state and uploads it to a temporary S3 location.</w:t>
      </w:r>
    </w:p>
    <w:p>
      <w:pPr>
        <w:pStyle w:val="ListParagraph"/>
        <w:numPr>
          <w:ilvl w:val="0"/>
          <w:numId w:val="2"/>
        </w:numPr>
        <w:spacing w:before="60" w:after="60"/>
      </w:pPr>
      <w:r>
        <w:rPr>
          <w:rFonts w:ascii="Arial" w:cs="Arial" w:eastAsia="Arial" w:hAnsi="Arial"/>
          <w:color w:val="1A1A2E"/>
          <w:sz w:val="22"/>
          <w:szCs w:val="22"/>
        </w:rPr>
        <w:t xml:space="preserve">GET /v1/repos/{id}/tasks/{task_id} — Polling endpoint for the frontend to track ZIP generation or S3 sync status.</w:t>
      </w:r>
    </w:p>
    <w:p>
      <w:pPr>
        <w:pStyle w:val="ListParagraph"/>
        <w:numPr>
          <w:ilvl w:val="0"/>
          <w:numId w:val="2"/>
        </w:numPr>
        <w:spacing w:before="60" w:after="60"/>
      </w:pPr>
      <w:r>
        <w:rPr>
          <w:rFonts w:ascii="Arial" w:cs="Arial" w:eastAsia="Arial" w:hAnsi="Arial"/>
          <w:b/>
          <w:bCs/>
          <w:color w:val="1A1A2E"/>
          <w:sz w:val="22"/>
          <w:szCs w:val="22"/>
        </w:rPr>
        <w:t xml:space="preserve">Internal:</w:t>
      </w:r>
      <w:r>
        <w:rPr>
          <w:rFonts w:ascii="Arial" w:cs="Arial" w:eastAsia="Arial" w:hAnsi="Arial"/>
          <w:color w:val="1A1A2E"/>
          <w:sz w:val="22"/>
          <w:szCs w:val="22"/>
        </w:rPr>
        <w:t xml:space="preserve"> POST /v1/internal/sync-blobs — Initiates transfer of draft files to permanent S3 storage; returns resulting content_hashes to Workflow-Service.</w:t>
      </w:r>
    </w:p>
    <w:p>
      <w:pPr>
        <w:pStyle w:val="ListParagraph"/>
        <w:numPr>
          <w:ilvl w:val="0"/>
          <w:numId w:val="2"/>
        </w:numPr>
        <w:spacing w:before="60" w:after="60"/>
      </w:pPr>
      <w:r>
        <w:rPr>
          <w:rFonts w:ascii="Arial" w:cs="Arial" w:eastAsia="Arial" w:hAnsi="Arial"/>
          <w:b/>
          <w:bCs/>
          <w:color w:val="1A1A2E"/>
          <w:sz w:val="22"/>
          <w:szCs w:val="22"/>
        </w:rPr>
        <w:t xml:space="preserve">Internal Cleanup:</w:t>
      </w:r>
      <w:r>
        <w:rPr>
          <w:rFonts w:ascii="Arial" w:cs="Arial" w:eastAsia="Arial" w:hAnsi="Arial"/>
          <w:color w:val="1A1A2E"/>
          <w:sz w:val="22"/>
          <w:szCs w:val="22"/>
        </w:rPr>
        <w:t xml:space="preserve"> DELETE /v1/internal/drafts/{user_id}/{repo_id} — Crucial step. Consumes an AWS SQS message to wipe the EFS draft folder after a successful commit approval.</w:t>
      </w:r>
    </w:p>
    <w:p>
      <w:pPr>
        <w:pBdr>
          <w:left w:val="single" w:color="22C55E" w:sz="12" w:space="8"/>
        </w:pBdr>
        <w:spacing w:before="100" w:after="40"/>
        <w:ind w:left="200"/>
      </w:pPr>
      <w:r>
        <w:rPr>
          <w:rFonts w:ascii="Arial" w:cs="Arial" w:eastAsia="Arial" w:hAnsi="Arial"/>
          <w:b/>
          <w:bCs/>
          <w:color w:val="166534"/>
          <w:sz w:val="20"/>
          <w:szCs w:val="20"/>
        </w:rPr>
        <w:t xml:space="preserve">  ⚠️  Resolved: SQS Everywhere (Redis Dropped)</w:t>
      </w:r>
    </w:p>
    <w:p>
      <w:pPr>
        <w:pStyle w:val="ListParagraph"/>
        <w:numPr>
          <w:ilvl w:val="0"/>
          <w:numId w:val="3"/>
        </w:numPr>
        <w:spacing w:before="30" w:after="30"/>
        <w:ind w:left="400"/>
      </w:pPr>
      <w:r>
        <w:rPr>
          <w:rFonts w:ascii="Arial" w:cs="Arial" w:eastAsia="Arial" w:hAnsi="Arial"/>
          <w:color w:val="166534"/>
          <w:sz w:val="20"/>
          <w:szCs w:val="20"/>
        </w:rPr>
        <w:t xml:space="preserve">Previously the spec called for AWS SQS in production and Redis locally. Since both environments interact with real AWS resources, Redis is unnecessary and adds a redundant code path.</w:t>
      </w:r>
    </w:p>
    <w:p>
      <w:pPr>
        <w:pStyle w:val="ListParagraph"/>
        <w:numPr>
          <w:ilvl w:val="0"/>
          <w:numId w:val="3"/>
        </w:numPr>
        <w:spacing w:before="30" w:after="30"/>
        <w:ind w:left="400"/>
      </w:pPr>
      <w:r>
        <w:rPr>
          <w:rFonts w:ascii="Arial" w:cs="Arial" w:eastAsia="Arial" w:hAnsi="Arial"/>
          <w:color w:val="166534"/>
          <w:sz w:val="20"/>
          <w:szCs w:val="20"/>
        </w:rPr>
        <w:t xml:space="preserve">Solution: Use AWS SQS in both environments. Locally, authenticate via AWS_ACCESS_KEY_ID / AWS_SECRET_ACCESS_KEY environment variables in docker-compose.yml. In production, EKS pods receive permissions via IRSA (IAM Roles for Service Accounts) — no credentials in code. The SQS consumer code is identical in both environments.</w:t>
      </w:r>
    </w:p>
    <w:p>
      <w:pPr>
        <w:spacing w:before="80" w:after="0"/>
      </w:pPr>
      <w:r>
        <w:t xml:space="preserve"/>
      </w:r>
    </w:p>
    <w:p>
      <w:pPr>
        <w:pStyle w:val="Heading2"/>
        <w:spacing w:before="240" w:after="80"/>
      </w:pPr>
      <w:r>
        <w:rPr>
          <w:rFonts w:ascii="Arial" w:cs="Arial" w:eastAsia="Arial" w:hAnsi="Arial"/>
          <w:b/>
          <w:bCs/>
          <w:color w:val="1F4E79"/>
          <w:sz w:val="26"/>
          <w:szCs w:val="26"/>
        </w:rPr>
        <w:t xml:space="preserve">2.3  Workflow-Service (The Logic Engine)</w:t>
      </w:r>
    </w:p>
    <w:p>
      <w:pPr>
        <w:spacing w:before="60" w:after="60"/>
      </w:pPr>
      <w:r>
        <w:rPr>
          <w:rFonts w:ascii="Arial" w:cs="Arial" w:eastAsia="Arial" w:hAnsi="Arial"/>
          <w:b/>
          <w:bCs/>
          <w:color w:val="1A1A2E"/>
          <w:sz w:val="22"/>
          <w:szCs w:val="22"/>
        </w:rPr>
        <w:t xml:space="preserve">Responsibility:</w:t>
      </w:r>
      <w:r>
        <w:rPr>
          <w:rFonts w:ascii="Arial" w:cs="Arial" w:eastAsia="Arial" w:hAnsi="Arial"/>
          <w:color w:val="1A1A2E"/>
          <w:sz w:val="22"/>
          <w:szCs w:val="22"/>
        </w:rPr>
        <w:t xml:space="preserve"> The “Git” State Machine. Manages relational metadata (Tables 2, 3, and 4) and orchestrates the lifecycle of a commit from “Pending” to “Approved/Rejected.”</w:t>
      </w:r>
    </w:p>
    <w:p>
      <w:pPr>
        <w:spacing w:before="80" w:after="0"/>
      </w:pPr>
      <w:r>
        <w:t xml:space="preserve"/>
      </w:r>
    </w:p>
    <w:p>
      <w:pPr>
        <w:pStyle w:val="Heading3"/>
        <w:spacing w:before="160" w:after="60"/>
      </w:pPr>
      <w:r>
        <w:rPr>
          <w:rFonts w:ascii="Arial" w:cs="Arial" w:eastAsia="Arial" w:hAnsi="Arial"/>
          <w:b/>
          <w:bCs/>
          <w:color w:val="2E5FA3"/>
          <w:sz w:val="22"/>
          <w:szCs w:val="22"/>
        </w:rPr>
        <w:t xml:space="preserve">Key Endpoints</w:t>
      </w:r>
    </w:p>
    <w:p>
      <w:pPr>
        <w:pStyle w:val="ListParagraph"/>
        <w:numPr>
          <w:ilvl w:val="0"/>
          <w:numId w:val="2"/>
        </w:numPr>
        <w:spacing w:before="60" w:after="60"/>
      </w:pPr>
      <w:r>
        <w:rPr>
          <w:rFonts w:ascii="Arial" w:cs="Arial" w:eastAsia="Arial" w:hAnsi="Arial"/>
          <w:b/>
          <w:bCs/>
          <w:color w:val="1A1A2E"/>
          <w:sz w:val="22"/>
          <w:szCs w:val="22"/>
        </w:rPr>
        <w:t xml:space="preserve">POST /v1/repos/create</w:t>
      </w:r>
      <w:r>
        <w:rPr>
          <w:rFonts w:ascii="Arial" w:cs="Arial" w:eastAsia="Arial" w:hAnsi="Arial"/>
          <w:color w:val="1A1A2E"/>
          <w:sz w:val="22"/>
          <w:szCs w:val="22"/>
        </w:rPr>
        <w:t xml:space="preserve"> — Atomic Logic: Initializes Table 2 (Metadata) and calls Identity-Service to assign Admin rights. If the downstream call fails, it rolls back the database record to prevent orphaned repos.</w:t>
      </w:r>
    </w:p>
    <w:p>
      <w:pPr>
        <w:pStyle w:val="ListParagraph"/>
        <w:numPr>
          <w:ilvl w:val="0"/>
          <w:numId w:val="2"/>
        </w:numPr>
        <w:spacing w:before="60" w:after="60"/>
      </w:pPr>
      <w:r>
        <w:rPr>
          <w:rFonts w:ascii="Arial" w:cs="Arial" w:eastAsia="Arial" w:hAnsi="Arial"/>
          <w:color w:val="1A1A2E"/>
          <w:sz w:val="22"/>
          <w:szCs w:val="22"/>
        </w:rPr>
        <w:t xml:space="preserve">POST /v1/repos/{id}/commits — Orchestrates the commit process by calling sync-blobs in Repo-Service, then calculating the tree_hash to write new records in Tables 3 and 4.</w:t>
      </w:r>
    </w:p>
    <w:p>
      <w:pPr>
        <w:pStyle w:val="ListParagraph"/>
        <w:numPr>
          <w:ilvl w:val="0"/>
          <w:numId w:val="2"/>
        </w:numPr>
        <w:spacing w:before="60" w:after="60"/>
      </w:pPr>
      <w:r>
        <w:rPr>
          <w:rFonts w:ascii="Arial" w:cs="Arial" w:eastAsia="Arial" w:hAnsi="Arial"/>
          <w:color w:val="1A1A2E"/>
          <w:sz w:val="22"/>
          <w:szCs w:val="22"/>
        </w:rPr>
        <w:t xml:space="preserve">GET /v1/commits/{hash}/diff — Compares the tree_hash of the proposed commit against its parent_commit_hash to show Reviewers exactly what changed without downloading raw files.</w:t>
      </w:r>
    </w:p>
    <w:p>
      <w:pPr>
        <w:pStyle w:val="ListParagraph"/>
        <w:numPr>
          <w:ilvl w:val="0"/>
          <w:numId w:val="2"/>
        </w:numPr>
        <w:spacing w:before="60" w:after="60"/>
      </w:pPr>
      <w:r>
        <w:rPr>
          <w:rFonts w:ascii="Arial" w:cs="Arial" w:eastAsia="Arial" w:hAnsi="Arial"/>
          <w:b/>
          <w:bCs/>
          <w:color w:val="1A1A2E"/>
          <w:sz w:val="22"/>
          <w:szCs w:val="22"/>
        </w:rPr>
        <w:t xml:space="preserve">POST /v1/commits/{hash}/approve</w:t>
      </w:r>
      <w:r>
        <w:rPr>
          <w:rFonts w:ascii="Arial" w:cs="Arial" w:eastAsia="Arial" w:hAnsi="Arial"/>
          <w:color w:val="1A1A2E"/>
          <w:sz w:val="22"/>
          <w:szCs w:val="22"/>
        </w:rPr>
        <w:t xml:space="preserve"> — Uses Optimistic Locking on Table 2 to ensure only one “Head” can exist. Approves the hash, rejects all siblings with the same parent, updates the repository’s latest_hash, and pushes a cleanup event to AWS SQS for Repo-Service to clear the author’s workspace.</w:t>
      </w:r>
    </w:p>
    <w:p>
      <w:pPr>
        <w:pStyle w:val="ListParagraph"/>
        <w:numPr>
          <w:ilvl w:val="0"/>
          <w:numId w:val="2"/>
        </w:numPr>
        <w:spacing w:before="60" w:after="60"/>
      </w:pPr>
      <w:r>
        <w:rPr>
          <w:rFonts w:ascii="Arial" w:cs="Arial" w:eastAsia="Arial" w:hAnsi="Arial"/>
          <w:color w:val="1A1A2E"/>
          <w:sz w:val="22"/>
          <w:szCs w:val="22"/>
        </w:rPr>
        <w:t xml:space="preserve">GET /v1/repos/{id}/history — Returns a linearized timeline of approved and rejected commits from Table 4.</w:t>
      </w:r>
    </w:p>
    <w:p>
      <w:pPr>
        <w:pBdr>
          <w:left w:val="single" w:color="22C55E" w:sz="12" w:space="8"/>
        </w:pBdr>
        <w:spacing w:before="100" w:after="40"/>
        <w:ind w:left="200"/>
      </w:pPr>
      <w:r>
        <w:rPr>
          <w:rFonts w:ascii="Arial" w:cs="Arial" w:eastAsia="Arial" w:hAnsi="Arial"/>
          <w:b/>
          <w:bCs/>
          <w:color w:val="166534"/>
          <w:sz w:val="20"/>
          <w:szCs w:val="20"/>
        </w:rPr>
        <w:t xml:space="preserve">  ⚠️  Resolved: Reviewer Concurrency (Atomic Sibling Rejection)</w:t>
      </w:r>
    </w:p>
    <w:p>
      <w:pPr>
        <w:pStyle w:val="ListParagraph"/>
        <w:numPr>
          <w:ilvl w:val="0"/>
          <w:numId w:val="3"/>
        </w:numPr>
        <w:spacing w:before="30" w:after="30"/>
        <w:ind w:left="400"/>
      </w:pPr>
      <w:r>
        <w:rPr>
          <w:rFonts w:ascii="Arial" w:cs="Arial" w:eastAsia="Arial" w:hAnsi="Arial"/>
          <w:color w:val="166534"/>
          <w:sz w:val="20"/>
          <w:szCs w:val="20"/>
        </w:rPr>
        <w:t xml:space="preserve">Risk: Two reviewers approving different sibling commits simultaneously could both succeed, creating an inconsistent history.</w:t>
      </w:r>
    </w:p>
    <w:p>
      <w:pPr>
        <w:pStyle w:val="ListParagraph"/>
        <w:numPr>
          <w:ilvl w:val="0"/>
          <w:numId w:val="3"/>
        </w:numPr>
        <w:spacing w:before="30" w:after="30"/>
        <w:ind w:left="400"/>
      </w:pPr>
      <w:r>
        <w:rPr>
          <w:rFonts w:ascii="Arial" w:cs="Arial" w:eastAsia="Arial" w:hAnsi="Arial"/>
          <w:color w:val="166534"/>
          <w:sz w:val="20"/>
          <w:szCs w:val="20"/>
        </w:rPr>
        <w:t xml:space="preserve">Solution: The approval and sibling rejection must be a single atomic database transaction:</w:t>
      </w:r>
    </w:p>
    <w:p>
      <w:pPr>
        <w:pStyle w:val="ListParagraph"/>
        <w:numPr>
          <w:ilvl w:val="0"/>
          <w:numId w:val="3"/>
        </w:numPr>
        <w:spacing w:before="30" w:after="30"/>
        <w:ind w:left="400"/>
      </w:pPr>
      <w:r>
        <w:rPr>
          <w:rFonts w:ascii="Courier New" w:cs="Courier New" w:eastAsia="Courier New" w:hAnsi="Courier New"/>
          <w:color w:val="166534"/>
          <w:sz w:val="20"/>
          <w:szCs w:val="20"/>
        </w:rPr>
        <w:t xml:space="preserve">  1. SELECT the commit row with optimistic lock version check</w:t>
      </w:r>
    </w:p>
    <w:p>
      <w:pPr>
        <w:pStyle w:val="ListParagraph"/>
        <w:numPr>
          <w:ilvl w:val="0"/>
          <w:numId w:val="3"/>
        </w:numPr>
        <w:spacing w:before="30" w:after="30"/>
        <w:ind w:left="400"/>
      </w:pPr>
      <w:r>
        <w:rPr>
          <w:rFonts w:ascii="Courier New" w:cs="Courier New" w:eastAsia="Courier New" w:hAnsi="Courier New"/>
          <w:color w:val="166534"/>
          <w:sz w:val="20"/>
          <w:szCs w:val="20"/>
        </w:rPr>
        <w:t xml:space="preserve">  2. UPDATE this commit → status = ‘approved’</w:t>
      </w:r>
    </w:p>
    <w:p>
      <w:pPr>
        <w:pStyle w:val="ListParagraph"/>
        <w:numPr>
          <w:ilvl w:val="0"/>
          <w:numId w:val="3"/>
        </w:numPr>
        <w:spacing w:before="30" w:after="30"/>
        <w:ind w:left="400"/>
      </w:pPr>
      <w:r>
        <w:rPr>
          <w:rFonts w:ascii="Courier New" w:cs="Courier New" w:eastAsia="Courier New" w:hAnsi="Courier New"/>
          <w:color w:val="166534"/>
          <w:sz w:val="20"/>
          <w:szCs w:val="20"/>
        </w:rPr>
        <w:t xml:space="preserve">  3. UPDATE all rows WHERE parent_commit_hash = same AND hash != this → status = ‘rejected’</w:t>
      </w:r>
    </w:p>
    <w:p>
      <w:pPr>
        <w:pStyle w:val="ListParagraph"/>
        <w:numPr>
          <w:ilvl w:val="0"/>
          <w:numId w:val="3"/>
        </w:numPr>
        <w:spacing w:before="30" w:after="30"/>
        <w:ind w:left="400"/>
      </w:pPr>
      <w:r>
        <w:rPr>
          <w:rFonts w:ascii="Courier New" w:cs="Courier New" w:eastAsia="Courier New" w:hAnsi="Courier New"/>
          <w:color w:val="166534"/>
          <w:sz w:val="20"/>
          <w:szCs w:val="20"/>
        </w:rPr>
        <w:t xml:space="preserve">  4. UPDATE Table 2 latest_commit_hash WHERE version = expected_version</w:t>
      </w:r>
    </w:p>
    <w:p>
      <w:pPr>
        <w:pStyle w:val="ListParagraph"/>
        <w:numPr>
          <w:ilvl w:val="0"/>
          <w:numId w:val="3"/>
        </w:numPr>
        <w:spacing w:before="30" w:after="30"/>
        <w:ind w:left="400"/>
      </w:pPr>
      <w:r>
        <w:rPr>
          <w:rFonts w:ascii="Courier New" w:cs="Courier New" w:eastAsia="Courier New" w:hAnsi="Courier New"/>
          <w:color w:val="166534"/>
          <w:sz w:val="20"/>
          <w:szCs w:val="20"/>
        </w:rPr>
        <w:t xml:space="preserve">  5. If any step fails → ROLLBACK, return 409 Conflict</w:t>
      </w:r>
    </w:p>
    <w:p>
      <w:pPr>
        <w:pStyle w:val="ListParagraph"/>
        <w:numPr>
          <w:ilvl w:val="0"/>
          <w:numId w:val="3"/>
        </w:numPr>
        <w:spacing w:before="30" w:after="30"/>
        <w:ind w:left="400"/>
      </w:pPr>
      <w:r>
        <w:rPr>
          <w:rFonts w:ascii="Arial" w:cs="Arial" w:eastAsia="Arial" w:hAnsi="Arial"/>
          <w:color w:val="166534"/>
          <w:sz w:val="20"/>
          <w:szCs w:val="20"/>
        </w:rPr>
        <w:t xml:space="preserve">Steps 2, 3, and 4 are one atomic unit managed by a SQLModel/SQLAlchemy session context manager. Two simultaneous approvals cannot both succeed.</w:t>
      </w:r>
    </w:p>
    <w:p>
      <w:pPr>
        <w:spacing w:before="80" w:after="0"/>
      </w:pPr>
      <w:r>
        <w:t xml:space="preserve"/>
      </w:r>
    </w:p>
    <w:p>
      <w:pPr>
        <w:pStyle w:val="Heading1"/>
        <w:spacing w:before="360" w:after="120"/>
      </w:pPr>
      <w:r>
        <w:rPr>
          <w:rFonts w:ascii="Arial" w:cs="Arial" w:eastAsia="Arial" w:hAnsi="Arial"/>
          <w:b/>
          <w:bCs/>
          <w:color w:val="2E5FA3"/>
          <w:sz w:val="32"/>
          <w:szCs w:val="32"/>
        </w:rPr>
        <w:t xml:space="preserve">3. AWS Well-Architected: Six Pillars</w:t>
      </w:r>
    </w:p>
    <w:p>
      <w:pPr>
        <w:pStyle w:val="Heading2"/>
        <w:spacing w:before="240" w:after="80"/>
      </w:pPr>
      <w:r>
        <w:rPr>
          <w:rFonts w:ascii="Arial" w:cs="Arial" w:eastAsia="Arial" w:hAnsi="Arial"/>
          <w:b/>
          <w:bCs/>
          <w:color w:val="1F4E79"/>
          <w:sz w:val="26"/>
          <w:szCs w:val="26"/>
        </w:rPr>
        <w:t xml:space="preserve">Operational Excellence</w:t>
      </w:r>
    </w:p>
    <w:p>
      <w:pPr>
        <w:spacing w:before="60" w:after="60"/>
      </w:pPr>
      <w:r>
        <w:rPr>
          <w:rFonts w:ascii="Arial" w:cs="Arial" w:eastAsia="Arial" w:hAnsi="Arial"/>
          <w:i/>
          <w:iCs/>
          <w:color w:val="1A1A2E"/>
          <w:sz w:val="22"/>
          <w:szCs w:val="22"/>
        </w:rPr>
        <w:t xml:space="preserve">Focuses on running systems effectively, gaining insight into operations, and continuously improving processes.</w:t>
      </w:r>
    </w:p>
    <w:p>
      <w:pPr>
        <w:pStyle w:val="ListParagraph"/>
        <w:numPr>
          <w:ilvl w:val="0"/>
          <w:numId w:val="2"/>
        </w:numPr>
        <w:spacing w:before="60" w:after="60"/>
      </w:pPr>
      <w:r>
        <w:rPr>
          <w:rFonts w:ascii="Arial" w:cs="Arial" w:eastAsia="Arial" w:hAnsi="Arial"/>
          <w:color w:val="1A1A2E"/>
          <w:sz w:val="22"/>
          <w:szCs w:val="22"/>
        </w:rPr>
        <w:t xml:space="preserve">Perform operations as code</w:t>
      </w:r>
    </w:p>
    <w:p>
      <w:pPr>
        <w:pStyle w:val="ListParagraph"/>
        <w:numPr>
          <w:ilvl w:val="0"/>
          <w:numId w:val="2"/>
        </w:numPr>
        <w:spacing w:before="60" w:after="60"/>
      </w:pPr>
      <w:r>
        <w:rPr>
          <w:rFonts w:ascii="Arial" w:cs="Arial" w:eastAsia="Arial" w:hAnsi="Arial"/>
          <w:color w:val="1A1A2E"/>
          <w:sz w:val="22"/>
          <w:szCs w:val="22"/>
        </w:rPr>
        <w:t xml:space="preserve">Make frequent, small, reversible changes</w:t>
      </w:r>
    </w:p>
    <w:p>
      <w:pPr>
        <w:pStyle w:val="ListParagraph"/>
        <w:numPr>
          <w:ilvl w:val="0"/>
          <w:numId w:val="2"/>
        </w:numPr>
        <w:spacing w:before="60" w:after="60"/>
      </w:pPr>
      <w:r>
        <w:rPr>
          <w:rFonts w:ascii="Arial" w:cs="Arial" w:eastAsia="Arial" w:hAnsi="Arial"/>
          <w:color w:val="1A1A2E"/>
          <w:sz w:val="22"/>
          <w:szCs w:val="22"/>
        </w:rPr>
        <w:t xml:space="preserve">Refine procedures frequently</w:t>
      </w:r>
    </w:p>
    <w:p>
      <w:pPr>
        <w:pStyle w:val="ListParagraph"/>
        <w:numPr>
          <w:ilvl w:val="0"/>
          <w:numId w:val="2"/>
        </w:numPr>
        <w:spacing w:before="60" w:after="60"/>
      </w:pPr>
      <w:r>
        <w:rPr>
          <w:rFonts w:ascii="Arial" w:cs="Arial" w:eastAsia="Arial" w:hAnsi="Arial"/>
          <w:color w:val="1A1A2E"/>
          <w:sz w:val="22"/>
          <w:szCs w:val="22"/>
        </w:rPr>
        <w:t xml:space="preserve">Anticipate failure</w:t>
      </w:r>
    </w:p>
    <w:p>
      <w:pPr>
        <w:pStyle w:val="ListParagraph"/>
        <w:numPr>
          <w:ilvl w:val="0"/>
          <w:numId w:val="2"/>
        </w:numPr>
        <w:spacing w:before="60" w:after="60"/>
      </w:pPr>
      <w:r>
        <w:rPr>
          <w:rFonts w:ascii="Arial" w:cs="Arial" w:eastAsia="Arial" w:hAnsi="Arial"/>
          <w:color w:val="1A1A2E"/>
          <w:sz w:val="22"/>
          <w:szCs w:val="22"/>
        </w:rPr>
        <w:t xml:space="preserve">Learn from operational events</w:t>
      </w:r>
    </w:p>
    <w:p>
      <w:pPr>
        <w:pStyle w:val="Heading2"/>
        <w:spacing w:before="240" w:after="80"/>
      </w:pPr>
      <w:r>
        <w:rPr>
          <w:rFonts w:ascii="Arial" w:cs="Arial" w:eastAsia="Arial" w:hAnsi="Arial"/>
          <w:b/>
          <w:bCs/>
          <w:color w:val="1F4E79"/>
          <w:sz w:val="26"/>
          <w:szCs w:val="26"/>
        </w:rPr>
        <w:t xml:space="preserve">Security</w:t>
      </w:r>
    </w:p>
    <w:p>
      <w:pPr>
        <w:spacing w:before="60" w:after="60"/>
      </w:pPr>
      <w:r>
        <w:rPr>
          <w:rFonts w:ascii="Arial" w:cs="Arial" w:eastAsia="Arial" w:hAnsi="Arial"/>
          <w:i/>
          <w:iCs/>
          <w:color w:val="1A1A2E"/>
          <w:sz w:val="22"/>
          <w:szCs w:val="22"/>
        </w:rPr>
        <w:t xml:space="preserve">Focuses on protecting information, systems, and assets while delivering business value through risk assessments and mitigation strategies.</w:t>
      </w:r>
    </w:p>
    <w:p>
      <w:pPr>
        <w:pStyle w:val="ListParagraph"/>
        <w:numPr>
          <w:ilvl w:val="0"/>
          <w:numId w:val="2"/>
        </w:numPr>
        <w:spacing w:before="60" w:after="60"/>
      </w:pPr>
      <w:r>
        <w:rPr>
          <w:rFonts w:ascii="Arial" w:cs="Arial" w:eastAsia="Arial" w:hAnsi="Arial"/>
          <w:color w:val="1A1A2E"/>
          <w:sz w:val="22"/>
          <w:szCs w:val="22"/>
        </w:rPr>
        <w:t xml:space="preserve">Implement a strong identity foundation</w:t>
      </w:r>
    </w:p>
    <w:p>
      <w:pPr>
        <w:pStyle w:val="ListParagraph"/>
        <w:numPr>
          <w:ilvl w:val="0"/>
          <w:numId w:val="2"/>
        </w:numPr>
        <w:spacing w:before="60" w:after="60"/>
      </w:pPr>
      <w:r>
        <w:rPr>
          <w:rFonts w:ascii="Arial" w:cs="Arial" w:eastAsia="Arial" w:hAnsi="Arial"/>
          <w:color w:val="1A1A2E"/>
          <w:sz w:val="22"/>
          <w:szCs w:val="22"/>
        </w:rPr>
        <w:t xml:space="preserve">Enable traceability</w:t>
      </w:r>
    </w:p>
    <w:p>
      <w:pPr>
        <w:pStyle w:val="ListParagraph"/>
        <w:numPr>
          <w:ilvl w:val="0"/>
          <w:numId w:val="2"/>
        </w:numPr>
        <w:spacing w:before="60" w:after="60"/>
      </w:pPr>
      <w:r>
        <w:rPr>
          <w:rFonts w:ascii="Arial" w:cs="Arial" w:eastAsia="Arial" w:hAnsi="Arial"/>
          <w:color w:val="1A1A2E"/>
          <w:sz w:val="22"/>
          <w:szCs w:val="22"/>
        </w:rPr>
        <w:t xml:space="preserve">Apply security at all layers</w:t>
      </w:r>
    </w:p>
    <w:p>
      <w:pPr>
        <w:pStyle w:val="ListParagraph"/>
        <w:numPr>
          <w:ilvl w:val="0"/>
          <w:numId w:val="2"/>
        </w:numPr>
        <w:spacing w:before="60" w:after="60"/>
      </w:pPr>
      <w:r>
        <w:rPr>
          <w:rFonts w:ascii="Arial" w:cs="Arial" w:eastAsia="Arial" w:hAnsi="Arial"/>
          <w:color w:val="1A1A2E"/>
          <w:sz w:val="22"/>
          <w:szCs w:val="22"/>
        </w:rPr>
        <w:t xml:space="preserve">Automate security best practices</w:t>
      </w:r>
    </w:p>
    <w:p>
      <w:pPr>
        <w:pStyle w:val="ListParagraph"/>
        <w:numPr>
          <w:ilvl w:val="0"/>
          <w:numId w:val="2"/>
        </w:numPr>
        <w:spacing w:before="60" w:after="60"/>
      </w:pPr>
      <w:r>
        <w:rPr>
          <w:rFonts w:ascii="Arial" w:cs="Arial" w:eastAsia="Arial" w:hAnsi="Arial"/>
          <w:color w:val="1A1A2E"/>
          <w:sz w:val="22"/>
          <w:szCs w:val="22"/>
        </w:rPr>
        <w:t xml:space="preserve">Protect data in transit and at rest</w:t>
      </w:r>
    </w:p>
    <w:p>
      <w:pPr>
        <w:pStyle w:val="Heading2"/>
        <w:spacing w:before="240" w:after="80"/>
      </w:pPr>
      <w:r>
        <w:rPr>
          <w:rFonts w:ascii="Arial" w:cs="Arial" w:eastAsia="Arial" w:hAnsi="Arial"/>
          <w:b/>
          <w:bCs/>
          <w:color w:val="1F4E79"/>
          <w:sz w:val="26"/>
          <w:szCs w:val="26"/>
        </w:rPr>
        <w:t xml:space="preserve">Reliability</w:t>
      </w:r>
    </w:p>
    <w:p>
      <w:pPr>
        <w:spacing w:before="60" w:after="60"/>
      </w:pPr>
      <w:r>
        <w:rPr>
          <w:rFonts w:ascii="Arial" w:cs="Arial" w:eastAsia="Arial" w:hAnsi="Arial"/>
          <w:i/>
          <w:iCs/>
          <w:color w:val="1A1A2E"/>
          <w:sz w:val="22"/>
          <w:szCs w:val="22"/>
        </w:rPr>
        <w:t xml:space="preserve">Ensures a workload performs its intended function correctly and consistently when expected.</w:t>
      </w:r>
    </w:p>
    <w:p>
      <w:pPr>
        <w:pStyle w:val="ListParagraph"/>
        <w:numPr>
          <w:ilvl w:val="0"/>
          <w:numId w:val="2"/>
        </w:numPr>
        <w:spacing w:before="60" w:after="60"/>
      </w:pPr>
      <w:r>
        <w:rPr>
          <w:rFonts w:ascii="Arial" w:cs="Arial" w:eastAsia="Arial" w:hAnsi="Arial"/>
          <w:color w:val="1A1A2E"/>
          <w:sz w:val="22"/>
          <w:szCs w:val="22"/>
        </w:rPr>
        <w:t xml:space="preserve">Automatically recover from failure</w:t>
      </w:r>
    </w:p>
    <w:p>
      <w:pPr>
        <w:pStyle w:val="ListParagraph"/>
        <w:numPr>
          <w:ilvl w:val="0"/>
          <w:numId w:val="2"/>
        </w:numPr>
        <w:spacing w:before="60" w:after="60"/>
      </w:pPr>
      <w:r>
        <w:rPr>
          <w:rFonts w:ascii="Arial" w:cs="Arial" w:eastAsia="Arial" w:hAnsi="Arial"/>
          <w:color w:val="1A1A2E"/>
          <w:sz w:val="22"/>
          <w:szCs w:val="22"/>
        </w:rPr>
        <w:t xml:space="preserve">Test recovery procedures</w:t>
      </w:r>
    </w:p>
    <w:p>
      <w:pPr>
        <w:pStyle w:val="ListParagraph"/>
        <w:numPr>
          <w:ilvl w:val="0"/>
          <w:numId w:val="2"/>
        </w:numPr>
        <w:spacing w:before="60" w:after="60"/>
      </w:pPr>
      <w:r>
        <w:rPr>
          <w:rFonts w:ascii="Arial" w:cs="Arial" w:eastAsia="Arial" w:hAnsi="Arial"/>
          <w:color w:val="1A1A2E"/>
          <w:sz w:val="22"/>
          <w:szCs w:val="22"/>
        </w:rPr>
        <w:t xml:space="preserve">Scale horizontally to increase aggregate workload availability</w:t>
      </w:r>
    </w:p>
    <w:p>
      <w:pPr>
        <w:pStyle w:val="ListParagraph"/>
        <w:numPr>
          <w:ilvl w:val="0"/>
          <w:numId w:val="2"/>
        </w:numPr>
        <w:spacing w:before="60" w:after="60"/>
      </w:pPr>
      <w:r>
        <w:rPr>
          <w:rFonts w:ascii="Arial" w:cs="Arial" w:eastAsia="Arial" w:hAnsi="Arial"/>
          <w:color w:val="1A1A2E"/>
          <w:sz w:val="22"/>
          <w:szCs w:val="22"/>
        </w:rPr>
        <w:t xml:space="preserve">Stop guessing capacity</w:t>
      </w:r>
    </w:p>
    <w:p>
      <w:pPr>
        <w:pStyle w:val="Heading2"/>
        <w:spacing w:before="240" w:after="80"/>
      </w:pPr>
      <w:r>
        <w:rPr>
          <w:rFonts w:ascii="Arial" w:cs="Arial" w:eastAsia="Arial" w:hAnsi="Arial"/>
          <w:b/>
          <w:bCs/>
          <w:color w:val="1F4E79"/>
          <w:sz w:val="26"/>
          <w:szCs w:val="26"/>
        </w:rPr>
        <w:t xml:space="preserve">Performance Efficiency</w:t>
      </w:r>
    </w:p>
    <w:p>
      <w:pPr>
        <w:spacing w:before="60" w:after="60"/>
      </w:pPr>
      <w:r>
        <w:rPr>
          <w:rFonts w:ascii="Arial" w:cs="Arial" w:eastAsia="Arial" w:hAnsi="Arial"/>
          <w:i/>
          <w:iCs/>
          <w:color w:val="1A1A2E"/>
          <w:sz w:val="22"/>
          <w:szCs w:val="22"/>
        </w:rPr>
        <w:t xml:space="preserve">Focuses on structured and streamlined allocation of IT and computing resources.</w:t>
      </w:r>
    </w:p>
    <w:p>
      <w:pPr>
        <w:pStyle w:val="ListParagraph"/>
        <w:numPr>
          <w:ilvl w:val="0"/>
          <w:numId w:val="2"/>
        </w:numPr>
        <w:spacing w:before="60" w:after="60"/>
      </w:pPr>
      <w:r>
        <w:rPr>
          <w:rFonts w:ascii="Arial" w:cs="Arial" w:eastAsia="Arial" w:hAnsi="Arial"/>
          <w:color w:val="1A1A2E"/>
          <w:sz w:val="22"/>
          <w:szCs w:val="22"/>
        </w:rPr>
        <w:t xml:space="preserve">Democratize advanced technologies</w:t>
      </w:r>
    </w:p>
    <w:p>
      <w:pPr>
        <w:pStyle w:val="ListParagraph"/>
        <w:numPr>
          <w:ilvl w:val="0"/>
          <w:numId w:val="2"/>
        </w:numPr>
        <w:spacing w:before="60" w:after="60"/>
      </w:pPr>
      <w:r>
        <w:rPr>
          <w:rFonts w:ascii="Arial" w:cs="Arial" w:eastAsia="Arial" w:hAnsi="Arial"/>
          <w:color w:val="1A1A2E"/>
          <w:sz w:val="22"/>
          <w:szCs w:val="22"/>
        </w:rPr>
        <w:t xml:space="preserve">Go global in minutes</w:t>
      </w:r>
    </w:p>
    <w:p>
      <w:pPr>
        <w:pStyle w:val="ListParagraph"/>
        <w:numPr>
          <w:ilvl w:val="0"/>
          <w:numId w:val="2"/>
        </w:numPr>
        <w:spacing w:before="60" w:after="60"/>
      </w:pPr>
      <w:r>
        <w:rPr>
          <w:rFonts w:ascii="Arial" w:cs="Arial" w:eastAsia="Arial" w:hAnsi="Arial"/>
          <w:color w:val="1A1A2E"/>
          <w:sz w:val="22"/>
          <w:szCs w:val="22"/>
        </w:rPr>
        <w:t xml:space="preserve">Use serverless architectures where appropriate</w:t>
      </w:r>
    </w:p>
    <w:p>
      <w:pPr>
        <w:pStyle w:val="ListParagraph"/>
        <w:numPr>
          <w:ilvl w:val="0"/>
          <w:numId w:val="2"/>
        </w:numPr>
        <w:spacing w:before="60" w:after="60"/>
      </w:pPr>
      <w:r>
        <w:rPr>
          <w:rFonts w:ascii="Arial" w:cs="Arial" w:eastAsia="Arial" w:hAnsi="Arial"/>
          <w:color w:val="1A1A2E"/>
          <w:sz w:val="22"/>
          <w:szCs w:val="22"/>
        </w:rPr>
        <w:t xml:space="preserve">Experiment more often</w:t>
      </w:r>
    </w:p>
    <w:p>
      <w:pPr>
        <w:pStyle w:val="ListParagraph"/>
        <w:numPr>
          <w:ilvl w:val="0"/>
          <w:numId w:val="2"/>
        </w:numPr>
        <w:spacing w:before="60" w:after="60"/>
      </w:pPr>
      <w:r>
        <w:rPr>
          <w:rFonts w:ascii="Arial" w:cs="Arial" w:eastAsia="Arial" w:hAnsi="Arial"/>
          <w:color w:val="1A1A2E"/>
          <w:sz w:val="22"/>
          <w:szCs w:val="22"/>
        </w:rPr>
        <w:t xml:space="preserve">Consider mechanical sympathy</w:t>
      </w:r>
    </w:p>
    <w:p>
      <w:pPr>
        <w:pStyle w:val="Heading2"/>
        <w:spacing w:before="240" w:after="80"/>
      </w:pPr>
      <w:r>
        <w:rPr>
          <w:rFonts w:ascii="Arial" w:cs="Arial" w:eastAsia="Arial" w:hAnsi="Arial"/>
          <w:b/>
          <w:bCs/>
          <w:color w:val="1F4E79"/>
          <w:sz w:val="26"/>
          <w:szCs w:val="26"/>
        </w:rPr>
        <w:t xml:space="preserve">Cost Optimization</w:t>
      </w:r>
    </w:p>
    <w:p>
      <w:pPr>
        <w:spacing w:before="60" w:after="60"/>
      </w:pPr>
      <w:r>
        <w:rPr>
          <w:rFonts w:ascii="Arial" w:cs="Arial" w:eastAsia="Arial" w:hAnsi="Arial"/>
          <w:i/>
          <w:iCs/>
          <w:color w:val="1A1A2E"/>
          <w:sz w:val="22"/>
          <w:szCs w:val="22"/>
        </w:rPr>
        <w:t xml:space="preserve">Focuses on avoiding unnecessary costs.</w:t>
      </w:r>
    </w:p>
    <w:p>
      <w:pPr>
        <w:pStyle w:val="ListParagraph"/>
        <w:numPr>
          <w:ilvl w:val="0"/>
          <w:numId w:val="2"/>
        </w:numPr>
        <w:spacing w:before="60" w:after="60"/>
      </w:pPr>
      <w:r>
        <w:rPr>
          <w:rFonts w:ascii="Arial" w:cs="Arial" w:eastAsia="Arial" w:hAnsi="Arial"/>
          <w:color w:val="1A1A2E"/>
          <w:sz w:val="22"/>
          <w:szCs w:val="22"/>
        </w:rPr>
        <w:t xml:space="preserve">Implement cloud financial management</w:t>
      </w:r>
    </w:p>
    <w:p>
      <w:pPr>
        <w:pStyle w:val="ListParagraph"/>
        <w:numPr>
          <w:ilvl w:val="0"/>
          <w:numId w:val="2"/>
        </w:numPr>
        <w:spacing w:before="60" w:after="60"/>
      </w:pPr>
      <w:r>
        <w:rPr>
          <w:rFonts w:ascii="Arial" w:cs="Arial" w:eastAsia="Arial" w:hAnsi="Arial"/>
          <w:color w:val="1A1A2E"/>
          <w:sz w:val="22"/>
          <w:szCs w:val="22"/>
        </w:rPr>
        <w:t xml:space="preserve">Adopt a consumption model</w:t>
      </w:r>
    </w:p>
    <w:p>
      <w:pPr>
        <w:pStyle w:val="ListParagraph"/>
        <w:numPr>
          <w:ilvl w:val="0"/>
          <w:numId w:val="2"/>
        </w:numPr>
        <w:spacing w:before="60" w:after="60"/>
      </w:pPr>
      <w:r>
        <w:rPr>
          <w:rFonts w:ascii="Arial" w:cs="Arial" w:eastAsia="Arial" w:hAnsi="Arial"/>
          <w:color w:val="1A1A2E"/>
          <w:sz w:val="22"/>
          <w:szCs w:val="22"/>
        </w:rPr>
        <w:t xml:space="preserve">Measure overall efficiency</w:t>
      </w:r>
    </w:p>
    <w:p>
      <w:pPr>
        <w:pStyle w:val="ListParagraph"/>
        <w:numPr>
          <w:ilvl w:val="0"/>
          <w:numId w:val="2"/>
        </w:numPr>
        <w:spacing w:before="60" w:after="60"/>
      </w:pPr>
      <w:r>
        <w:rPr>
          <w:rFonts w:ascii="Arial" w:cs="Arial" w:eastAsia="Arial" w:hAnsi="Arial"/>
          <w:color w:val="1A1A2E"/>
          <w:sz w:val="22"/>
          <w:szCs w:val="22"/>
        </w:rPr>
        <w:t xml:space="preserve">Stop spending money on undifferentiated heavy lifting</w:t>
      </w:r>
    </w:p>
    <w:p>
      <w:pPr>
        <w:pStyle w:val="ListParagraph"/>
        <w:numPr>
          <w:ilvl w:val="0"/>
          <w:numId w:val="2"/>
        </w:numPr>
        <w:spacing w:before="60" w:after="60"/>
      </w:pPr>
      <w:r>
        <w:rPr>
          <w:rFonts w:ascii="Arial" w:cs="Arial" w:eastAsia="Arial" w:hAnsi="Arial"/>
          <w:color w:val="1A1A2E"/>
          <w:sz w:val="22"/>
          <w:szCs w:val="22"/>
        </w:rPr>
        <w:t xml:space="preserve">Analyze and attribute expenditure</w:t>
      </w:r>
    </w:p>
    <w:p>
      <w:pPr>
        <w:pStyle w:val="Heading2"/>
        <w:spacing w:before="240" w:after="80"/>
      </w:pPr>
      <w:r>
        <w:rPr>
          <w:rFonts w:ascii="Arial" w:cs="Arial" w:eastAsia="Arial" w:hAnsi="Arial"/>
          <w:b/>
          <w:bCs/>
          <w:color w:val="1F4E79"/>
          <w:sz w:val="26"/>
          <w:szCs w:val="26"/>
        </w:rPr>
        <w:t xml:space="preserve">Sustainability</w:t>
      </w:r>
    </w:p>
    <w:p>
      <w:pPr>
        <w:spacing w:before="60" w:after="60"/>
      </w:pPr>
      <w:r>
        <w:rPr>
          <w:rFonts w:ascii="Arial" w:cs="Arial" w:eastAsia="Arial" w:hAnsi="Arial"/>
          <w:i/>
          <w:iCs/>
          <w:color w:val="1A1A2E"/>
          <w:sz w:val="22"/>
          <w:szCs w:val="22"/>
        </w:rPr>
        <w:t xml:space="preserve">Focuses on minimizing environmental impacts, acknowledging the shared responsibility model.</w:t>
      </w:r>
    </w:p>
    <w:p>
      <w:pPr>
        <w:pStyle w:val="ListParagraph"/>
        <w:numPr>
          <w:ilvl w:val="0"/>
          <w:numId w:val="2"/>
        </w:numPr>
        <w:spacing w:before="60" w:after="60"/>
      </w:pPr>
      <w:r>
        <w:rPr>
          <w:rFonts w:ascii="Arial" w:cs="Arial" w:eastAsia="Arial" w:hAnsi="Arial"/>
          <w:color w:val="1A1A2E"/>
          <w:sz w:val="22"/>
          <w:szCs w:val="22"/>
        </w:rPr>
        <w:t xml:space="preserve">Understand your impact</w:t>
      </w:r>
    </w:p>
    <w:p>
      <w:pPr>
        <w:pStyle w:val="ListParagraph"/>
        <w:numPr>
          <w:ilvl w:val="0"/>
          <w:numId w:val="2"/>
        </w:numPr>
        <w:spacing w:before="60" w:after="60"/>
      </w:pPr>
      <w:r>
        <w:rPr>
          <w:rFonts w:ascii="Arial" w:cs="Arial" w:eastAsia="Arial" w:hAnsi="Arial"/>
          <w:color w:val="1A1A2E"/>
          <w:sz w:val="22"/>
          <w:szCs w:val="22"/>
        </w:rPr>
        <w:t xml:space="preserve">Establish sustainability goals</w:t>
      </w:r>
    </w:p>
    <w:p>
      <w:pPr>
        <w:pStyle w:val="ListParagraph"/>
        <w:numPr>
          <w:ilvl w:val="0"/>
          <w:numId w:val="2"/>
        </w:numPr>
        <w:spacing w:before="60" w:after="60"/>
      </w:pPr>
      <w:r>
        <w:rPr>
          <w:rFonts w:ascii="Arial" w:cs="Arial" w:eastAsia="Arial" w:hAnsi="Arial"/>
          <w:color w:val="1A1A2E"/>
          <w:sz w:val="22"/>
          <w:szCs w:val="22"/>
        </w:rPr>
        <w:t xml:space="preserve">Maximize utilization</w:t>
      </w:r>
    </w:p>
    <w:p>
      <w:pPr>
        <w:pStyle w:val="ListParagraph"/>
        <w:numPr>
          <w:ilvl w:val="0"/>
          <w:numId w:val="2"/>
        </w:numPr>
        <w:spacing w:before="60" w:after="60"/>
      </w:pPr>
      <w:r>
        <w:rPr>
          <w:rFonts w:ascii="Arial" w:cs="Arial" w:eastAsia="Arial" w:hAnsi="Arial"/>
          <w:color w:val="1A1A2E"/>
          <w:sz w:val="22"/>
          <w:szCs w:val="22"/>
        </w:rPr>
        <w:t xml:space="preserve">Anticipate and adopt new, more efficient hardware/software offerings</w:t>
      </w:r>
    </w:p>
    <w:p>
      <w:pPr>
        <w:pStyle w:val="ListParagraph"/>
        <w:numPr>
          <w:ilvl w:val="0"/>
          <w:numId w:val="2"/>
        </w:numPr>
        <w:spacing w:before="60" w:after="60"/>
      </w:pPr>
      <w:r>
        <w:rPr>
          <w:rFonts w:ascii="Arial" w:cs="Arial" w:eastAsia="Arial" w:hAnsi="Arial"/>
          <w:color w:val="1A1A2E"/>
          <w:sz w:val="22"/>
          <w:szCs w:val="22"/>
        </w:rPr>
        <w:t xml:space="preserve">Use managed services</w:t>
      </w:r>
    </w:p>
    <w:p>
      <w:pPr>
        <w:spacing w:before="80" w:after="0"/>
      </w:pPr>
      <w:r>
        <w:t xml:space="preserve"/>
      </w:r>
    </w:p>
    <w:p>
      <w:pPr>
        <w:pStyle w:val="Heading1"/>
        <w:spacing w:before="360" w:after="120"/>
      </w:pPr>
      <w:r>
        <w:rPr>
          <w:rFonts w:ascii="Arial" w:cs="Arial" w:eastAsia="Arial" w:hAnsi="Arial"/>
          <w:b/>
          <w:bCs/>
          <w:color w:val="2E5FA3"/>
          <w:sz w:val="32"/>
          <w:szCs w:val="32"/>
        </w:rPr>
        <w:t xml:space="preserve">4. General Cloud Design Principles</w:t>
      </w:r>
    </w:p>
    <w:p>
      <w:pPr>
        <w:pStyle w:val="ListParagraph"/>
        <w:numPr>
          <w:ilvl w:val="0"/>
          <w:numId w:val="2"/>
        </w:numPr>
        <w:spacing w:before="60" w:after="60"/>
      </w:pPr>
      <w:r>
        <w:rPr>
          <w:rFonts w:ascii="Arial" w:cs="Arial" w:eastAsia="Arial" w:hAnsi="Arial"/>
          <w:b/>
          <w:bCs/>
          <w:color w:val="1A1A2E"/>
          <w:sz w:val="22"/>
          <w:szCs w:val="22"/>
        </w:rPr>
        <w:t xml:space="preserve">Stop guessing capacity</w:t>
      </w:r>
      <w:r>
        <w:rPr>
          <w:rFonts w:ascii="Arial" w:cs="Arial" w:eastAsia="Arial" w:hAnsi="Arial"/>
          <w:color w:val="1A1A2E"/>
          <w:sz w:val="22"/>
          <w:szCs w:val="22"/>
        </w:rPr>
        <w:t xml:space="preserve"> — Use auto-scaling (Cluster Autoscaler/Karpenter + HPA) to match resource allocation to actual demand.</w:t>
      </w:r>
    </w:p>
    <w:p>
      <w:pPr>
        <w:pStyle w:val="ListParagraph"/>
        <w:numPr>
          <w:ilvl w:val="0"/>
          <w:numId w:val="2"/>
        </w:numPr>
        <w:spacing w:before="60" w:after="60"/>
      </w:pPr>
      <w:r>
        <w:rPr>
          <w:rFonts w:ascii="Arial" w:cs="Arial" w:eastAsia="Arial" w:hAnsi="Arial"/>
          <w:b/>
          <w:bCs/>
          <w:color w:val="1A1A2E"/>
          <w:sz w:val="22"/>
          <w:szCs w:val="22"/>
        </w:rPr>
        <w:t xml:space="preserve">Test systems at production scale</w:t>
      </w:r>
      <w:r>
        <w:rPr>
          <w:rFonts w:ascii="Arial" w:cs="Arial" w:eastAsia="Arial" w:hAnsi="Arial"/>
          <w:color w:val="1A1A2E"/>
          <w:sz w:val="22"/>
          <w:szCs w:val="22"/>
        </w:rPr>
        <w:t xml:space="preserve"> — Replicate load conditions in staging before deploying.</w:t>
      </w:r>
    </w:p>
    <w:p>
      <w:pPr>
        <w:pStyle w:val="ListParagraph"/>
        <w:numPr>
          <w:ilvl w:val="0"/>
          <w:numId w:val="2"/>
        </w:numPr>
        <w:spacing w:before="60" w:after="60"/>
      </w:pPr>
      <w:r>
        <w:rPr>
          <w:rFonts w:ascii="Arial" w:cs="Arial" w:eastAsia="Arial" w:hAnsi="Arial"/>
          <w:b/>
          <w:bCs/>
          <w:color w:val="1A1A2E"/>
          <w:sz w:val="22"/>
          <w:szCs w:val="22"/>
        </w:rPr>
        <w:t xml:space="preserve">Lower risk with automation</w:t>
      </w:r>
      <w:r>
        <w:rPr>
          <w:rFonts w:ascii="Arial" w:cs="Arial" w:eastAsia="Arial" w:hAnsi="Arial"/>
          <w:color w:val="1A1A2E"/>
          <w:sz w:val="22"/>
          <w:szCs w:val="22"/>
        </w:rPr>
        <w:t xml:space="preserve"> — CI/CD pipelines, infrastructure as code, and automated rollbacks reduce human error.</w:t>
      </w:r>
    </w:p>
    <w:p>
      <w:pPr>
        <w:pStyle w:val="ListParagraph"/>
        <w:numPr>
          <w:ilvl w:val="0"/>
          <w:numId w:val="2"/>
        </w:numPr>
        <w:spacing w:before="60" w:after="60"/>
      </w:pPr>
      <w:r>
        <w:rPr>
          <w:rFonts w:ascii="Arial" w:cs="Arial" w:eastAsia="Arial" w:hAnsi="Arial"/>
          <w:b/>
          <w:bCs/>
          <w:color w:val="1A1A2E"/>
          <w:sz w:val="22"/>
          <w:szCs w:val="22"/>
        </w:rPr>
        <w:t xml:space="preserve">Design for failure</w:t>
      </w:r>
      <w:r>
        <w:rPr>
          <w:rFonts w:ascii="Arial" w:cs="Arial" w:eastAsia="Arial" w:hAnsi="Arial"/>
          <w:color w:val="1A1A2E"/>
          <w:sz w:val="22"/>
          <w:szCs w:val="22"/>
        </w:rPr>
        <w:t xml:space="preserve"> — Assume any component can fail at any time. Multi-AZ deployments, health checks, and circuit breakers ensure continuity.</w:t>
      </w:r>
    </w:p>
    <w:p>
      <w:pPr>
        <w:spacing w:before="80" w:after="0"/>
      </w:pPr>
      <w:r>
        <w:t xml:space="preserve"/>
      </w:r>
    </w:p>
    <w:p>
      <w:pPr>
        <w:pStyle w:val="Heading1"/>
        <w:spacing w:before="360" w:after="120"/>
      </w:pPr>
      <w:r>
        <w:rPr>
          <w:rFonts w:ascii="Arial" w:cs="Arial" w:eastAsia="Arial" w:hAnsi="Arial"/>
          <w:b/>
          <w:bCs/>
          <w:color w:val="2E5FA3"/>
          <w:sz w:val="32"/>
          <w:szCs w:val="32"/>
        </w:rPr>
        <w:t xml:space="preserve">5. Recommended Build Order (Walking Skeleton)</w:t>
      </w:r>
    </w:p>
    <w:p>
      <w:pPr>
        <w:spacing w:before="60" w:after="60"/>
      </w:pPr>
      <w:r>
        <w:rPr>
          <w:rFonts w:ascii="Arial" w:cs="Arial" w:eastAsia="Arial" w:hAnsi="Arial"/>
          <w:color w:val="1A1A2E"/>
          <w:sz w:val="22"/>
          <w:szCs w:val="22"/>
        </w:rPr>
        <w:t xml:space="preserve">Building in the following order ensures the app is demonstrable at every stage rather than having nothing runnable until the end.</w:t>
      </w:r>
    </w:p>
    <w:p>
      <w:pPr>
        <w:spacing w:before="80" w:after="0"/>
      </w:pPr>
      <w:r>
        <w:t xml:space="preserve"/>
      </w:r>
    </w:p>
    <w:p>
      <w:pPr>
        <w:pStyle w:val="ListParagraph"/>
        <w:numPr>
          <w:ilvl w:val="0"/>
          <w:numId w:val="2"/>
        </w:numPr>
        <w:spacing w:before="80" w:after="60"/>
      </w:pPr>
      <w:r>
        <w:rPr>
          <w:rFonts w:ascii="Arial" w:cs="Arial" w:eastAsia="Arial" w:hAnsi="Arial"/>
          <w:b/>
          <w:bCs/>
          <w:color w:val="1A1A2E"/>
          <w:sz w:val="22"/>
          <w:szCs w:val="22"/>
        </w:rPr>
        <w:t xml:space="preserve">Phase 1 — Auth</w:t>
      </w:r>
      <w:r>
        <w:rPr>
          <w:rFonts w:ascii="Arial" w:cs="Arial" w:eastAsia="Arial" w:hAnsi="Arial"/>
          <w:color w:val="1A1A2E"/>
          <w:sz w:val="22"/>
          <w:szCs w:val="22"/>
        </w:rPr>
        <w:t xml:space="preserve">: Cognito + Identity-Service + login/register UI.</w:t>
      </w:r>
    </w:p>
    <w:p>
      <w:pPr>
        <w:pStyle w:val="ListParagraph"/>
        <w:numPr>
          <w:ilvl w:val="0"/>
          <w:numId w:val="2"/>
        </w:numPr>
        <w:spacing w:before="80" w:after="60"/>
      </w:pPr>
      <w:r>
        <w:rPr>
          <w:rFonts w:ascii="Arial" w:cs="Arial" w:eastAsia="Arial" w:hAnsi="Arial"/>
          <w:b/>
          <w:bCs/>
          <w:color w:val="1A1A2E"/>
          <w:sz w:val="22"/>
          <w:szCs w:val="22"/>
        </w:rPr>
        <w:t xml:space="preserve">Phase 2 — Repo Creation</w:t>
      </w:r>
      <w:r>
        <w:rPr>
          <w:rFonts w:ascii="Arial" w:cs="Arial" w:eastAsia="Arial" w:hAnsi="Arial"/>
          <w:color w:val="1A1A2E"/>
          <w:sz w:val="22"/>
          <w:szCs w:val="22"/>
        </w:rPr>
        <w:t xml:space="preserve">: Workflow-Service POST /v1/repos/create + Table 2 init + dashboard UI.</w:t>
      </w:r>
    </w:p>
    <w:p>
      <w:pPr>
        <w:pStyle w:val="ListParagraph"/>
        <w:numPr>
          <w:ilvl w:val="0"/>
          <w:numId w:val="2"/>
        </w:numPr>
        <w:spacing w:before="80" w:after="60"/>
      </w:pPr>
      <w:r>
        <w:rPr>
          <w:rFonts w:ascii="Arial" w:cs="Arial" w:eastAsia="Arial" w:hAnsi="Arial"/>
          <w:b/>
          <w:bCs/>
          <w:color w:val="1A1A2E"/>
          <w:sz w:val="22"/>
          <w:szCs w:val="22"/>
        </w:rPr>
        <w:t xml:space="preserve">Phase 3 — File Upload + View Mode</w:t>
      </w:r>
      <w:r>
        <w:rPr>
          <w:rFonts w:ascii="Arial" w:cs="Arial" w:eastAsia="Arial" w:hAnsi="Arial"/>
          <w:color w:val="1A1A2E"/>
          <w:sz w:val="22"/>
          <w:szCs w:val="22"/>
        </w:rPr>
        <w:t xml:space="preserve">: Repo-Service + S3 + CloudFront signed URLs + explorer UI.</w:t>
      </w:r>
    </w:p>
    <w:p>
      <w:pPr>
        <w:pStyle w:val="ListParagraph"/>
        <w:numPr>
          <w:ilvl w:val="0"/>
          <w:numId w:val="2"/>
        </w:numPr>
        <w:spacing w:before="80" w:after="60"/>
      </w:pPr>
      <w:r>
        <w:rPr>
          <w:rFonts w:ascii="Arial" w:cs="Arial" w:eastAsia="Arial" w:hAnsi="Arial"/>
          <w:b/>
          <w:bCs/>
          <w:color w:val="1A1A2E"/>
          <w:sz w:val="22"/>
          <w:szCs w:val="22"/>
        </w:rPr>
        <w:t xml:space="preserve">Phase 4 — Edit Mode + Drafts</w:t>
      </w:r>
      <w:r>
        <w:rPr>
          <w:rFonts w:ascii="Arial" w:cs="Arial" w:eastAsia="Arial" w:hAnsi="Arial"/>
          <w:color w:val="1A1A2E"/>
          <w:sz w:val="22"/>
          <w:szCs w:val="22"/>
        </w:rPr>
        <w:t xml:space="preserve">: EFS integration + save endpoint + online IDE UI.</w:t>
      </w:r>
    </w:p>
    <w:p>
      <w:pPr>
        <w:pStyle w:val="ListParagraph"/>
        <w:numPr>
          <w:ilvl w:val="0"/>
          <w:numId w:val="2"/>
        </w:numPr>
        <w:spacing w:before="80" w:after="60"/>
      </w:pPr>
      <w:r>
        <w:rPr>
          <w:rFonts w:ascii="Arial" w:cs="Arial" w:eastAsia="Arial" w:hAnsi="Arial"/>
          <w:b/>
          <w:bCs/>
          <w:color w:val="1A1A2E"/>
          <w:sz w:val="22"/>
          <w:szCs w:val="22"/>
        </w:rPr>
        <w:t xml:space="preserve">Phase 5 — Commit + Approval Flow</w:t>
      </w:r>
      <w:r>
        <w:rPr>
          <w:rFonts w:ascii="Arial" w:cs="Arial" w:eastAsia="Arial" w:hAnsi="Arial"/>
          <w:color w:val="1A1A2E"/>
          <w:sz w:val="22"/>
          <w:szCs w:val="22"/>
        </w:rPr>
        <w:t xml:space="preserve">: Full Workflow-Service state machine with atomic transactions and SQS cleanup.</w:t>
      </w:r>
    </w:p>
    <w:p>
      <w:pPr>
        <w:pStyle w:val="ListParagraph"/>
        <w:numPr>
          <w:ilvl w:val="0"/>
          <w:numId w:val="2"/>
        </w:numPr>
        <w:spacing w:before="80" w:after="60"/>
      </w:pPr>
      <w:r>
        <w:rPr>
          <w:rFonts w:ascii="Arial" w:cs="Arial" w:eastAsia="Arial" w:hAnsi="Arial"/>
          <w:b/>
          <w:bCs/>
          <w:color w:val="1A1A2E"/>
          <w:sz w:val="22"/>
          <w:szCs w:val="22"/>
        </w:rPr>
        <w:t xml:space="preserve">Phase 6 — Invites + Email</w:t>
      </w:r>
      <w:r>
        <w:rPr>
          <w:rFonts w:ascii="Arial" w:cs="Arial" w:eastAsia="Arial" w:hAnsi="Arial"/>
          <w:color w:val="1A1A2E"/>
          <w:sz w:val="22"/>
          <w:szCs w:val="22"/>
        </w:rPr>
        <w:t xml:space="preserve">: SES integration + invite token validation.</w:t>
      </w:r>
    </w:p>
    <w:p>
      <w:pPr>
        <w:pStyle w:val="ListParagraph"/>
        <w:numPr>
          <w:ilvl w:val="0"/>
          <w:numId w:val="2"/>
        </w:numPr>
        <w:spacing w:before="80" w:after="60"/>
      </w:pPr>
      <w:r>
        <w:rPr>
          <w:rFonts w:ascii="Arial" w:cs="Arial" w:eastAsia="Arial" w:hAnsi="Arial"/>
          <w:b/>
          <w:bCs/>
          <w:color w:val="1A1A2E"/>
          <w:sz w:val="22"/>
          <w:szCs w:val="22"/>
        </w:rPr>
        <w:t xml:space="preserve">Phase 7 — Infrastructure Hardening</w:t>
      </w:r>
      <w:r>
        <w:rPr>
          <w:rFonts w:ascii="Arial" w:cs="Arial" w:eastAsia="Arial" w:hAnsi="Arial"/>
          <w:color w:val="1A1A2E"/>
          <w:sz w:val="22"/>
          <w:szCs w:val="22"/>
        </w:rPr>
        <w:t xml:space="preserve">: EKS (with ALB Ingress, HPA, Karpenter), Route53, DNSSEC, HTTPS via ACM.</w:t>
      </w:r>
    </w:p>
    <w:p>
      <w:pPr>
        <w:spacing w:before="80" w:after="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2E5FA3"/>
      <w:sz w:val="32"/>
      <w:szCs w:val="32"/>
    </w:rPr>
  </w:style>
  <w:style w:type="paragraph" w:styleId="Heading2">
    <w:name w:val="Heading 2"/>
    <w:basedOn w:val="Normal"/>
    <w:next w:val="Normal"/>
    <w:qFormat/>
    <w:pPr>
      <w:spacing w:before="240" w:after="80"/>
      <w:outlineLvl w:val="1"/>
    </w:pPr>
    <w:rPr>
      <w:rFonts w:ascii="Arial" w:cs="Arial" w:eastAsia="Arial" w:hAnsi="Arial"/>
      <w:b/>
      <w:bCs/>
      <w:color w:val="1F4E79"/>
      <w:sz w:val="26"/>
      <w:szCs w:val="26"/>
    </w:rPr>
  </w:style>
  <w:style w:type="paragraph" w:styleId="Heading3">
    <w:name w:val="Heading 3"/>
    <w:basedOn w:val="Normal"/>
    <w:next w:val="Normal"/>
    <w:qFormat/>
    <w:pPr>
      <w:spacing w:before="160" w:after="60"/>
      <w:outlineLvl w:val="2"/>
    </w:pPr>
    <w:rPr>
      <w:rFonts w:ascii="Arial" w:cs="Arial" w:eastAsia="Arial" w:hAnsi="Arial"/>
      <w:b/>
      <w:bCs/>
      <w:color w:val="2E5F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2026-03-20T09:23:15.083Z</dcterms:created>
  <dcterms:modified xsi:type="dcterms:W3CDTF">2026-03-20T09:23:15.084Z</dcterms:modified>
</cp:coreProperties>
</file>

<file path=docProps/custom.xml><?xml version="1.0" encoding="utf-8"?>
<Properties xmlns="http://schemas.openxmlformats.org/officeDocument/2006/custom-properties" xmlns:vt="http://schemas.openxmlformats.org/officeDocument/2006/docPropsVTypes"/>
</file>