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2E5FA3"/>
          <w:sz w:val="52"/>
          <w:szCs w:val="52"/>
        </w:rPr>
        <w:t xml:space="preserve">SAP Project Definition</w:t>
      </w:r>
    </w:p>
    <w:p>
      <w:pPr>
        <w:spacing w:before="0" w:after="600"/>
        <w:jc w:val="center"/>
      </w:pPr>
      <w:r>
        <w:rPr>
          <w:rFonts w:ascii="Arial" w:cs="Arial" w:eastAsia="Arial" w:hAnsi="Arial"/>
          <w:i/>
          <w:iCs/>
          <w:color w:val="555555"/>
          <w:sz w:val="26"/>
          <w:szCs w:val="26"/>
        </w:rPr>
        <w:t xml:space="preserve">Cloud-Native Version Control Platform</w:t>
      </w:r>
    </w:p>
    <w:p>
      <w:pPr>
        <w:pStyle w:val="Heading1"/>
        <w:spacing w:before="400" w:after="120"/>
      </w:pPr>
      <w:r>
        <w:rPr>
          <w:rFonts w:ascii="Arial" w:cs="Arial" w:eastAsia="Arial" w:hAnsi="Arial"/>
          <w:b/>
          <w:bCs/>
          <w:color w:val="2E5FA3"/>
          <w:sz w:val="32"/>
          <w:szCs w:val="32"/>
        </w:rPr>
        <w:t xml:space="preserve">1. Project Idea and Functionalities</w:t>
      </w:r>
    </w:p>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When you enter the website, you can register or log into your account.</w:t>
      </w:r>
    </w:p>
    <w:p>
      <w:pPr>
        <w:pStyle w:val="ListParagraph"/>
        <w:numPr>
          <w:ilvl w:val="0"/>
          <w:numId w:val="2"/>
        </w:numPr>
        <w:spacing w:before="60" w:after="60"/>
      </w:pPr>
      <w:r>
        <w:rPr>
          <w:rFonts w:ascii="Arial" w:cs="Arial" w:eastAsia="Arial" w:hAnsi="Arial"/>
          <w:color w:val="1A1A2E"/>
          <w:sz w:val="22"/>
          <w:szCs w:val="22"/>
        </w:rPr>
        <w:t xml:space="preserve">When you pass the log in page, you see a list of repositories — some are yours, others are repositories in which other people have added you. If it is a new account, you don't have any repositories.</w:t>
      </w:r>
    </w:p>
    <w:p>
      <w:pPr>
        <w:pStyle w:val="ListParagraph"/>
        <w:numPr>
          <w:ilvl w:val="0"/>
          <w:numId w:val="2"/>
        </w:numPr>
        <w:spacing w:before="60" w:after="60"/>
      </w:pPr>
      <w:r>
        <w:rPr>
          <w:rFonts w:ascii="Arial" w:cs="Arial" w:eastAsia="Arial" w:hAnsi="Arial"/>
          <w:color w:val="1A1A2E"/>
          <w:sz w:val="22"/>
          <w:szCs w:val="22"/>
        </w:rPr>
        <w:t xml:space="preserve">You can either create a new repository, open one of your repositories (if any), or open one of the repositories you have been invited to through email and have accepted the invitation.</w:t>
      </w:r>
    </w:p>
    <w:p>
      <w:pPr>
        <w:pStyle w:val="ListParagraph"/>
        <w:numPr>
          <w:ilvl w:val="0"/>
          <w:numId w:val="2"/>
        </w:numPr>
        <w:spacing w:before="60" w:after="60"/>
      </w:pPr>
      <w:r>
        <w:rPr>
          <w:rFonts w:ascii="Arial" w:cs="Arial" w:eastAsia="Arial" w:hAnsi="Arial"/>
          <w:b/>
          <w:bCs/>
          <w:color w:val="1A1A2E"/>
          <w:sz w:val="22"/>
          <w:szCs w:val="22"/>
        </w:rPr>
        <w:t xml:space="preserve">Reader:</w:t>
      </w:r>
      <w:r>
        <w:rPr>
          <w:rFonts w:ascii="Arial" w:cs="Arial" w:eastAsia="Arial" w:hAnsi="Arial"/>
          <w:color w:val="1A1A2E"/>
          <w:sz w:val="22"/>
          <w:szCs w:val="22"/>
        </w:rPr>
        <w:t xml:space="preserve"> If you open a repository you have joined as a reader, you can only see the current repository structure and file contents.</w:t>
      </w:r>
    </w:p>
    <w:p>
      <w:pPr>
        <w:pStyle w:val="ListParagraph"/>
        <w:numPr>
          <w:ilvl w:val="0"/>
          <w:numId w:val="2"/>
        </w:numPr>
        <w:spacing w:before="60" w:after="60"/>
      </w:pPr>
      <w:r>
        <w:rPr>
          <w:rFonts w:ascii="Arial" w:cs="Arial" w:eastAsia="Arial" w:hAnsi="Arial"/>
          <w:b/>
          <w:bCs/>
          <w:color w:val="1A1A2E"/>
          <w:sz w:val="22"/>
          <w:szCs w:val="22"/>
        </w:rPr>
        <w:t xml:space="preserve">Author:</w:t>
      </w:r>
      <w:r>
        <w:rPr>
          <w:rFonts w:ascii="Arial" w:cs="Arial" w:eastAsia="Arial" w:hAnsi="Arial"/>
          <w:color w:val="1A1A2E"/>
          <w:sz w:val="22"/>
          <w:szCs w:val="22"/>
        </w:rPr>
        <w:t xml:space="preserve"> If you open a repository you have joined as an author, you can see both current and previous repository structures and file contents (current and previous commits). You can add/modify/delete files/folders and can commit changes. You can either use an online IDE (through the application UI) to create and edit files (like .txt, .py, .js) or click a button “upload” to add files from your machine (like .png, .jpg, .pdf). You also have the option to “download” every file from the repository or the whole repository as a zip file.</w:t>
      </w:r>
    </w:p>
    <w:p>
      <w:pPr>
        <w:pStyle w:val="ListParagraph"/>
        <w:numPr>
          <w:ilvl w:val="0"/>
          <w:numId w:val="2"/>
        </w:numPr>
        <w:spacing w:before="60" w:after="60"/>
      </w:pPr>
      <w:r>
        <w:rPr>
          <w:rFonts w:ascii="Arial" w:cs="Arial" w:eastAsia="Arial" w:hAnsi="Arial"/>
          <w:b/>
          <w:bCs/>
          <w:color w:val="1A1A2E"/>
          <w:sz w:val="22"/>
          <w:szCs w:val="22"/>
        </w:rPr>
        <w:t xml:space="preserve">Reviewer:</w:t>
      </w:r>
      <w:r>
        <w:rPr>
          <w:rFonts w:ascii="Arial" w:cs="Arial" w:eastAsia="Arial" w:hAnsi="Arial"/>
          <w:color w:val="1A1A2E"/>
          <w:sz w:val="22"/>
          <w:szCs w:val="22"/>
        </w:rPr>
        <w:t xml:space="preserve"> If you open a repository you have joined as a reviewer, you can see what commits have been proposed and either approve or reject them. If several commits come from one parent commit and the reviewer approves one, the others get added to the commit history as “rejected” and get removed from the reviewer UI. Reviewers may also leave a written comment when rejecting a commit so the author understands what to fix.</w:t>
      </w:r>
    </w:p>
    <w:p>
      <w:pPr>
        <w:pStyle w:val="ListParagraph"/>
        <w:numPr>
          <w:ilvl w:val="0"/>
          <w:numId w:val="2"/>
        </w:numPr>
        <w:spacing w:before="60" w:after="60"/>
      </w:pPr>
      <w:r>
        <w:rPr>
          <w:rFonts w:ascii="Arial" w:cs="Arial" w:eastAsia="Arial" w:hAnsi="Arial"/>
          <w:b/>
          <w:bCs/>
          <w:color w:val="1A1A2E"/>
          <w:sz w:val="22"/>
          <w:szCs w:val="22"/>
        </w:rPr>
        <w:t xml:space="preserve">Admin:</w:t>
      </w:r>
      <w:r>
        <w:rPr>
          <w:rFonts w:ascii="Arial" w:cs="Arial" w:eastAsia="Arial" w:hAnsi="Arial"/>
          <w:color w:val="1A1A2E"/>
          <w:sz w:val="22"/>
          <w:szCs w:val="22"/>
        </w:rPr>
        <w:t xml:space="preserve"> If you open one of your own repositories, you are automatically set to admin, which means you have all of the above permissions.</w:t>
      </w:r>
    </w:p>
    <w:p>
      <w:pPr>
        <w:pStyle w:val="ListParagraph"/>
        <w:numPr>
          <w:ilvl w:val="0"/>
          <w:numId w:val="2"/>
        </w:numPr>
        <w:spacing w:before="60" w:after="60"/>
      </w:pPr>
      <w:r>
        <w:rPr>
          <w:rFonts w:ascii="Arial" w:cs="Arial" w:eastAsia="Arial" w:hAnsi="Arial"/>
          <w:color w:val="1A1A2E"/>
          <w:sz w:val="22"/>
          <w:szCs w:val="22"/>
        </w:rPr>
        <w:t xml:space="preserve">Every role has their POV dedicated page — multiple files will be created in the frontend and not everything stuffed into one giant page.</w:t>
      </w:r>
    </w:p>
    <w:p>
      <w:pPr>
        <w:pStyle w:val="ListParagraph"/>
        <w:numPr>
          <w:ilvl w:val="0"/>
          <w:numId w:val="2"/>
        </w:numPr>
        <w:spacing w:before="60" w:after="60"/>
      </w:pPr>
      <w:r>
        <w:rPr>
          <w:rFonts w:ascii="Arial" w:cs="Arial" w:eastAsia="Arial" w:hAnsi="Arial"/>
          <w:color w:val="1A1A2E"/>
          <w:sz w:val="22"/>
          <w:szCs w:val="22"/>
        </w:rPr>
        <w:t xml:space="preserve">All views must handle empty states gracefully: new users see an onboarding prompt on the dashboard; readers and authors see a placeholder when a repository has no files; reviewers see a “No pending commits” message when the queue is empty.</w:t>
      </w:r>
    </w:p>
    <w:p>
      <w:pPr>
        <w:spacing w:before="80" w:after="0"/>
      </w:pPr>
      <w:r>
        <w:rPr>
          <w:rFonts w:ascii="Arial" w:cs="Arial" w:eastAsia="Arial" w:hAnsi="Arial"/>
          <w:color w:val="1A1A2E"/>
          <w:sz w:val="22"/>
          <w:szCs w:val="22"/>
        </w:rPr>
        <w:t xml:space="preserve"/>
      </w:r>
    </w:p>
    <w:p>
      <w:pPr>
        <w:pBdr>
          <w:left w:val="single" w:color="3B82F6" w:sz="14" w:space="8"/>
        </w:pBdr>
        <w:spacing w:before="120" w:after="40"/>
        <w:ind w:left="180"/>
      </w:pPr>
      <w:r>
        <w:rPr>
          <w:rFonts w:ascii="Arial" w:cs="Arial" w:eastAsia="Arial" w:hAnsi="Arial"/>
          <w:b/>
          <w:bCs/>
          <w:color w:val="1E3A5F"/>
          <w:sz w:val="20"/>
          <w:szCs w:val="20"/>
        </w:rPr>
        <w:t xml:space="preserve">  💡  Logical Gap Resolved: Empty State Handling</w:t>
      </w:r>
    </w:p>
    <w:p>
      <w:pPr>
        <w:pStyle w:val="ListParagraph"/>
        <w:numPr>
          <w:ilvl w:val="0"/>
          <w:numId w:val="3"/>
        </w:numPr>
        <w:pBdr>
          <w:left w:val="single" w:color="3B82F6" w:sz="14" w:space="8"/>
        </w:pBdr>
        <w:spacing w:before="28" w:after="28"/>
        <w:ind w:left="380"/>
      </w:pPr>
      <w:r>
        <w:rPr>
          <w:rFonts w:ascii="Arial" w:cs="Arial" w:eastAsia="Arial" w:hAnsi="Arial"/>
          <w:color w:val="1E3A5F"/>
          <w:sz w:val="20"/>
          <w:szCs w:val="20"/>
        </w:rPr>
        <w:t xml:space="preserve">Every view now has a defined empty state so the app always feels intentional rather than broken. These states should be implemented as dedicated UI components, not left as blank pages.</w:t>
      </w:r>
    </w:p>
    <w:p>
      <w:pPr>
        <w:spacing w:before="80" w:after="0"/>
      </w:pPr>
      <w:r>
        <w:rPr>
          <w:rFonts w:ascii="Arial" w:cs="Arial" w:eastAsia="Arial" w:hAnsi="Arial"/>
          <w:color w:val="1A1A2E"/>
          <w:sz w:val="22"/>
          <w:szCs w:val="22"/>
        </w:rPr>
        <w:t xml:space="preserve"/>
      </w:r>
    </w:p>
    <w:p>
      <w:pPr>
        <w:pStyle w:val="Heading2"/>
        <w:spacing w:before="260" w:after="80"/>
      </w:pPr>
      <w:r>
        <w:rPr>
          <w:rFonts w:ascii="Arial" w:cs="Arial" w:eastAsia="Arial" w:hAnsi="Arial"/>
          <w:b/>
          <w:bCs/>
          <w:color w:val="1F4E79"/>
          <w:sz w:val="26"/>
          <w:szCs w:val="26"/>
        </w:rPr>
        <w:t xml:space="preserve">Authentication</w:t>
      </w:r>
    </w:p>
    <w:p>
      <w:pPr>
        <w:pStyle w:val="ListParagraph"/>
        <w:numPr>
          <w:ilvl w:val="0"/>
          <w:numId w:val="2"/>
        </w:numPr>
        <w:spacing w:before="60" w:after="60"/>
      </w:pPr>
      <w:r>
        <w:rPr>
          <w:rFonts w:ascii="Arial" w:cs="Arial" w:eastAsia="Arial" w:hAnsi="Arial"/>
          <w:b/>
          <w:bCs/>
          <w:color w:val="1A1A2E"/>
          <w:sz w:val="22"/>
          <w:szCs w:val="22"/>
        </w:rPr>
        <w:t xml:space="preserve">AWS Cognito</w:t>
      </w:r>
      <w:r>
        <w:rPr>
          <w:rFonts w:ascii="Arial" w:cs="Arial" w:eastAsia="Arial" w:hAnsi="Arial"/>
          <w:color w:val="1A1A2E"/>
          <w:sz w:val="22"/>
          <w:szCs w:val="22"/>
        </w:rPr>
        <w:t xml:space="preserve"> will be used with the following fields: user_id (sub), email, password for user authentication. A custom login/register page will be created via NextJS; the AWS Cognito default page will not be used.</w:t>
      </w:r>
    </w:p>
    <w:p>
      <w:pPr>
        <w:spacing w:before="80" w:after="0"/>
      </w:pPr>
      <w:r>
        <w:rPr>
          <w:rFonts w:ascii="Arial" w:cs="Arial" w:eastAsia="Arial" w:hAnsi="Arial"/>
          <w:color w:val="1A1A2E"/>
          <w:sz w:val="22"/>
          <w:szCs w:val="22"/>
        </w:rPr>
        <w:t xml:space="preserve"/>
      </w:r>
    </w:p>
    <w:p>
      <w:pPr>
        <w:pStyle w:val="Heading2"/>
        <w:spacing w:before="260" w:after="80"/>
      </w:pPr>
      <w:r>
        <w:rPr>
          <w:rFonts w:ascii="Arial" w:cs="Arial" w:eastAsia="Arial" w:hAnsi="Arial"/>
          <w:b/>
          <w:bCs/>
          <w:color w:val="1F4E79"/>
          <w:sz w:val="26"/>
          <w:szCs w:val="26"/>
        </w:rPr>
        <w:t xml:space="preserve">Database (RDS — PostgreSQL)</w:t>
      </w:r>
    </w:p>
    <w:p>
      <w:pPr>
        <w:pStyle w:val="ListParagraph"/>
        <w:numPr>
          <w:ilvl w:val="0"/>
          <w:numId w:val="2"/>
        </w:numPr>
        <w:spacing w:before="60" w:after="60"/>
      </w:pPr>
      <w:r>
        <w:rPr>
          <w:rFonts w:ascii="Arial" w:cs="Arial" w:eastAsia="Arial" w:hAnsi="Arial"/>
          <w:b/>
          <w:bCs/>
          <w:color w:val="1A1A2E"/>
          <w:sz w:val="22"/>
          <w:szCs w:val="22"/>
        </w:rPr>
        <w:t xml:space="preserve">Table 1 — User-Repo Associations:</w:t>
      </w:r>
      <w:r>
        <w:rPr>
          <w:rFonts w:ascii="Arial" w:cs="Arial" w:eastAsia="Arial" w:hAnsi="Arial"/>
          <w:color w:val="1A1A2E"/>
          <w:sz w:val="22"/>
          <w:szCs w:val="22"/>
        </w:rPr>
        <w:t xml:space="preserve"> id (PK), user_id (FK from Cognito), repo_id (FK), role. Shows relationships between users and repositories — one user can be in multiple repositories with a different role for each.</w:t>
      </w:r>
    </w:p>
    <w:p>
      <w:pPr>
        <w:pStyle w:val="ListParagraph"/>
        <w:numPr>
          <w:ilvl w:val="0"/>
          <w:numId w:val="2"/>
        </w:numPr>
        <w:spacing w:before="60" w:after="60"/>
      </w:pPr>
      <w:r>
        <w:rPr>
          <w:rFonts w:ascii="Arial" w:cs="Arial" w:eastAsia="Arial" w:hAnsi="Arial"/>
          <w:b/>
          <w:bCs/>
          <w:color w:val="1A1A2E"/>
          <w:sz w:val="22"/>
          <w:szCs w:val="22"/>
        </w:rPr>
        <w:t xml:space="preserve">Table 2 — Repository Metadata:</w:t>
      </w:r>
      <w:r>
        <w:rPr>
          <w:rFonts w:ascii="Arial" w:cs="Arial" w:eastAsia="Arial" w:hAnsi="Arial"/>
          <w:color w:val="1A1A2E"/>
          <w:sz w:val="22"/>
          <w:szCs w:val="22"/>
        </w:rPr>
        <w:t xml:space="preserve"> repo_id (PK), latest_commit_hash, repo_name, owner_id (FK), created_at, and other metadata.</w:t>
      </w:r>
    </w:p>
    <w:p>
      <w:pPr>
        <w:pStyle w:val="ListParagraph"/>
        <w:numPr>
          <w:ilvl w:val="0"/>
          <w:numId w:val="2"/>
        </w:numPr>
        <w:spacing w:before="60" w:after="60"/>
      </w:pPr>
      <w:r>
        <w:rPr>
          <w:rFonts w:ascii="Arial" w:cs="Arial" w:eastAsia="Arial" w:hAnsi="Arial"/>
          <w:b/>
          <w:bCs/>
          <w:color w:val="1A1A2E"/>
          <w:sz w:val="22"/>
          <w:szCs w:val="22"/>
        </w:rPr>
        <w:t xml:space="preserve">Table 3 — Trees:</w:t>
      </w:r>
      <w:r>
        <w:rPr>
          <w:rFonts w:ascii="Arial" w:cs="Arial" w:eastAsia="Arial" w:hAnsi="Arial"/>
          <w:color w:val="1A1A2E"/>
          <w:sz w:val="22"/>
          <w:szCs w:val="22"/>
        </w:rPr>
        <w:t xml:space="preserve"> id (PK), tree_hash. Stores tree objects only.</w:t>
      </w:r>
    </w:p>
    <w:p>
      <w:pPr>
        <w:pStyle w:val="ListParagraph"/>
        <w:numPr>
          <w:ilvl w:val="0"/>
          <w:numId w:val="2"/>
        </w:numPr>
        <w:spacing w:before="60" w:after="60"/>
      </w:pPr>
      <w:r>
        <w:rPr>
          <w:rFonts w:ascii="Arial" w:cs="Arial" w:eastAsia="Arial" w:hAnsi="Arial"/>
          <w:b/>
          <w:bCs/>
          <w:color w:val="1A1A2E"/>
          <w:sz w:val="22"/>
          <w:szCs w:val="22"/>
        </w:rPr>
        <w:t xml:space="preserve">Table 4 — Tree-Object Associations:</w:t>
      </w:r>
      <w:r>
        <w:rPr>
          <w:rFonts w:ascii="Arial" w:cs="Arial" w:eastAsia="Arial" w:hAnsi="Arial"/>
          <w:color w:val="1A1A2E"/>
          <w:sz w:val="22"/>
          <w:szCs w:val="22"/>
        </w:rPr>
        <w:t xml:space="preserve"> id (PK), tree_id (FK), type (blob or tree), name (file or folder name), content_hash (FK to Blobs table). Associates a given tree with blobs or other trees to visualize repository structure at any point in time.</w:t>
      </w:r>
    </w:p>
    <w:p>
      <w:pPr>
        <w:pStyle w:val="ListParagraph"/>
        <w:numPr>
          <w:ilvl w:val="0"/>
          <w:numId w:val="2"/>
        </w:numPr>
        <w:spacing w:before="60" w:after="60"/>
      </w:pPr>
      <w:r>
        <w:rPr>
          <w:rFonts w:ascii="Arial" w:cs="Arial" w:eastAsia="Arial" w:hAnsi="Arial"/>
          <w:b/>
          <w:bCs/>
          <w:color w:val="1A1A2E"/>
          <w:sz w:val="22"/>
          <w:szCs w:val="22"/>
        </w:rPr>
        <w:t xml:space="preserve">Table 5 — Commit Information:</w:t>
      </w:r>
      <w:r>
        <w:rPr>
          <w:rFonts w:ascii="Arial" w:cs="Arial" w:eastAsia="Arial" w:hAnsi="Arial"/>
          <w:color w:val="1A1A2E"/>
          <w:sz w:val="22"/>
          <w:szCs w:val="22"/>
        </w:rPr>
        <w:t xml:space="preserve"> id (PK), commit_hash, status (approved / rejected / pending), parent_commit_hash, tree_id (FK), repo_id (FK), owner_id (FK), timestamp, reviewer_comment (nullable). The reviewer_comment column stores the reason for rejection when a reviewer rejects a commit; it is null for approved commits.</w:t>
      </w:r>
    </w:p>
    <w:p>
      <w:pPr>
        <w:pStyle w:val="ListParagraph"/>
        <w:numPr>
          <w:ilvl w:val="0"/>
          <w:numId w:val="2"/>
        </w:numPr>
        <w:spacing w:before="60" w:after="60"/>
      </w:pPr>
      <w:r>
        <w:rPr>
          <w:rFonts w:ascii="Arial" w:cs="Arial" w:eastAsia="Arial" w:hAnsi="Arial"/>
          <w:b/>
          <w:bCs/>
          <w:color w:val="1A1A2E"/>
          <w:sz w:val="22"/>
          <w:szCs w:val="22"/>
        </w:rPr>
        <w:t xml:space="preserve">Table 6 — Blobs:</w:t>
      </w:r>
      <w:r>
        <w:rPr>
          <w:rFonts w:ascii="Arial" w:cs="Arial" w:eastAsia="Arial" w:hAnsi="Arial"/>
          <w:color w:val="1A1A2E"/>
          <w:sz w:val="22"/>
          <w:szCs w:val="22"/>
        </w:rPr>
        <w:t xml:space="preserve"> id (PK), content_hash (unique), size_bytes, mime_type, uploaded_at. Stores blob-level metadata independently of any tree reference. Because the same blob can be referenced by many trees (e.g. an unchanged file across commits), metadata is stored once here rather than duplicated in Table 4. The content_hash also serves as the S3 object key. A blob row is written by sync-blobs only if no row with that content_hash already exists, ensuring natural deduplication.</w:t>
      </w:r>
    </w:p>
    <w:p>
      <w:pPr>
        <w:pStyle w:val="ListParagraph"/>
        <w:numPr>
          <w:ilvl w:val="0"/>
          <w:numId w:val="2"/>
        </w:numPr>
        <w:spacing w:before="60" w:after="60"/>
      </w:pPr>
      <w:r>
        <w:rPr>
          <w:rFonts w:ascii="Arial" w:cs="Arial" w:eastAsia="Arial" w:hAnsi="Arial"/>
          <w:b/>
          <w:bCs/>
          <w:color w:val="1A1A2E"/>
          <w:sz w:val="22"/>
          <w:szCs w:val="22"/>
        </w:rPr>
        <w:t xml:space="preserve">Table 7 — Invite Tokens:</w:t>
      </w:r>
      <w:r>
        <w:rPr>
          <w:rFonts w:ascii="Arial" w:cs="Arial" w:eastAsia="Arial" w:hAnsi="Arial"/>
          <w:color w:val="1A1A2E"/>
          <w:sz w:val="22"/>
          <w:szCs w:val="22"/>
        </w:rPr>
        <w:t xml:space="preserve"> id (PK), token (unique), repo_id (FK), invited_email, role, created_at, expires_at. Tokens expire after 72 hours. The accept endpoint rejects any token whose expires_at is in the past.</w:t>
      </w:r>
    </w:p>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ORM (SQLModel) will integrate the RDS database in the backend. Alembic will handle database migrations following industry standard practices.</w:t>
      </w:r>
    </w:p>
    <w:p>
      <w:pPr>
        <w:pBdr>
          <w:left w:val="single" w:color="F59E0B" w:sz="14" w:space="8"/>
        </w:pBdr>
        <w:spacing w:before="120" w:after="40"/>
        <w:ind w:left="180"/>
      </w:pPr>
      <w:r>
        <w:rPr>
          <w:rFonts w:ascii="Arial" w:cs="Arial" w:eastAsia="Arial" w:hAnsi="Arial"/>
          <w:b/>
          <w:bCs/>
          <w:color w:val="7C3A00"/>
          <w:sz w:val="20"/>
          <w:szCs w:val="20"/>
        </w:rPr>
        <w:t xml:space="preserve">  🔧  Technical Gap Resolved: Blob Deduplication is Now Explicit</w:t>
      </w:r>
    </w:p>
    <w:p>
      <w:pPr>
        <w:pStyle w:val="ListParagraph"/>
        <w:numPr>
          <w:ilvl w:val="0"/>
          <w:numId w:val="3"/>
        </w:numPr>
        <w:pBdr>
          <w:left w:val="single" w:color="F59E0B" w:sz="14" w:space="8"/>
        </w:pBdr>
        <w:spacing w:before="28" w:after="28"/>
        <w:ind w:left="380"/>
      </w:pPr>
      <w:r>
        <w:rPr>
          <w:rFonts w:ascii="Arial" w:cs="Arial" w:eastAsia="Arial" w:hAnsi="Arial"/>
          <w:color w:val="7C3A00"/>
          <w:sz w:val="20"/>
          <w:szCs w:val="20"/>
        </w:rPr>
        <w:t xml:space="preserve">The sync-blobs endpoint must check whether a row with the given content_hash already exists in Table 6 before uploading to S3 or writing a new row. If it already exists, the upload and insert are skipped entirely. This prevents redundant S3 PUT costs and duplicate rows.</w:t>
      </w:r>
    </w:p>
    <w:p>
      <w:pPr>
        <w:spacing w:before="80" w:after="0"/>
      </w:pPr>
      <w:r>
        <w:rPr>
          <w:rFonts w:ascii="Arial" w:cs="Arial" w:eastAsia="Arial" w:hAnsi="Arial"/>
          <w:color w:val="1A1A2E"/>
          <w:sz w:val="22"/>
          <w:szCs w:val="22"/>
        </w:rPr>
        <w:t xml:space="preserve"/>
      </w:r>
    </w:p>
    <w:p>
      <w:pPr>
        <w:pBdr>
          <w:left w:val="single" w:color="F59E0B" w:sz="14" w:space="8"/>
        </w:pBdr>
        <w:spacing w:before="120" w:after="40"/>
        <w:ind w:left="180"/>
      </w:pPr>
      <w:r>
        <w:rPr>
          <w:rFonts w:ascii="Arial" w:cs="Arial" w:eastAsia="Arial" w:hAnsi="Arial"/>
          <w:b/>
          <w:bCs/>
          <w:color w:val="7C3A00"/>
          <w:sz w:val="20"/>
          <w:szCs w:val="20"/>
        </w:rPr>
        <w:t xml:space="preserve">  🔧  Technical Gap Resolved: Invite Token Expiry</w:t>
      </w:r>
    </w:p>
    <w:p>
      <w:pPr>
        <w:pStyle w:val="ListParagraph"/>
        <w:numPr>
          <w:ilvl w:val="0"/>
          <w:numId w:val="3"/>
        </w:numPr>
        <w:pBdr>
          <w:left w:val="single" w:color="F59E0B" w:sz="14" w:space="8"/>
        </w:pBdr>
        <w:spacing w:before="28" w:after="28"/>
        <w:ind w:left="380"/>
      </w:pPr>
      <w:r>
        <w:rPr>
          <w:rFonts w:ascii="Arial" w:cs="Arial" w:eastAsia="Arial" w:hAnsi="Arial"/>
          <w:color w:val="7C3A00"/>
          <w:sz w:val="20"/>
          <w:szCs w:val="20"/>
        </w:rPr>
        <w:t xml:space="preserve">Invite tokens now have a 72-hour TTL stored in Table 7. The accept endpoint validates expiry before writing to Table 1. Expired tokens return a 410 Gone response with a message prompting the admin to re-send the invite.</w:t>
      </w:r>
    </w:p>
    <w:p>
      <w:pPr>
        <w:spacing w:before="80" w:after="0"/>
      </w:pPr>
      <w:r>
        <w:rPr>
          <w:rFonts w:ascii="Arial" w:cs="Arial" w:eastAsia="Arial" w:hAnsi="Arial"/>
          <w:color w:val="1A1A2E"/>
          <w:sz w:val="22"/>
          <w:szCs w:val="22"/>
        </w:rPr>
        <w:t xml:space="preserve"/>
      </w:r>
    </w:p>
    <w:p>
      <w:pPr>
        <w:spacing w:before="80" w:after="0"/>
      </w:pPr>
      <w:r>
        <w:rPr>
          <w:rFonts w:ascii="Arial" w:cs="Arial" w:eastAsia="Arial" w:hAnsi="Arial"/>
          <w:color w:val="1A1A2E"/>
          <w:sz w:val="22"/>
          <w:szCs w:val="22"/>
        </w:rPr>
        <w:t xml:space="preserve"/>
      </w:r>
    </w:p>
    <w:p>
      <w:pPr>
        <w:pStyle w:val="Heading2"/>
        <w:spacing w:before="260" w:after="80"/>
      </w:pPr>
      <w:r>
        <w:rPr>
          <w:rFonts w:ascii="Arial" w:cs="Arial" w:eastAsia="Arial" w:hAnsi="Arial"/>
          <w:b/>
          <w:bCs/>
          <w:color w:val="1F4E79"/>
          <w:sz w:val="26"/>
          <w:szCs w:val="26"/>
        </w:rPr>
        <w:t xml:space="preserve">Storage and File System</w:t>
      </w:r>
    </w:p>
    <w:p>
      <w:pPr>
        <w:pStyle w:val="ListParagraph"/>
        <w:numPr>
          <w:ilvl w:val="0"/>
          <w:numId w:val="2"/>
        </w:numPr>
        <w:spacing w:before="60" w:after="60"/>
      </w:pPr>
      <w:r>
        <w:rPr>
          <w:rFonts w:ascii="Arial" w:cs="Arial" w:eastAsia="Arial" w:hAnsi="Arial"/>
          <w:b/>
          <w:bCs/>
          <w:color w:val="1A1A2E"/>
          <w:sz w:val="22"/>
          <w:szCs w:val="22"/>
        </w:rPr>
        <w:t xml:space="preserve">S3</w:t>
      </w:r>
      <w:r>
        <w:rPr>
          <w:rFonts w:ascii="Arial" w:cs="Arial" w:eastAsia="Arial" w:hAnsi="Arial"/>
          <w:color w:val="1A1A2E"/>
          <w:sz w:val="22"/>
          <w:szCs w:val="22"/>
        </w:rPr>
        <w:t xml:space="preserve"> stores permanent, versioned blob content (committed files). S3 object keys are the content_hash values from Table 6.</w:t>
      </w:r>
    </w:p>
    <w:p>
      <w:pPr>
        <w:pStyle w:val="ListParagraph"/>
        <w:numPr>
          <w:ilvl w:val="0"/>
          <w:numId w:val="2"/>
        </w:numPr>
        <w:spacing w:before="60" w:after="60"/>
      </w:pPr>
      <w:r>
        <w:rPr>
          <w:rFonts w:ascii="Arial" w:cs="Arial" w:eastAsia="Arial" w:hAnsi="Arial"/>
          <w:b/>
          <w:bCs/>
          <w:color w:val="1A1A2E"/>
          <w:sz w:val="22"/>
          <w:szCs w:val="22"/>
        </w:rPr>
        <w:t xml:space="preserve">EFS</w:t>
      </w:r>
      <w:r>
        <w:rPr>
          <w:rFonts w:ascii="Arial" w:cs="Arial" w:eastAsia="Arial" w:hAnsi="Arial"/>
          <w:color w:val="1A1A2E"/>
          <w:sz w:val="22"/>
          <w:szCs w:val="22"/>
        </w:rPr>
        <w:t xml:space="preserve"> stores all users’ current in-progress changes (e.g. /mnt/efs/drafts/{user_id}/{repo_id}/). When a user edits a file and presses ‘Save’, the backend writes changes to EFS. All EC2 instances have access to EFS.</w:t>
      </w:r>
    </w:p>
    <w:p>
      <w:pPr>
        <w:pStyle w:val="ListParagraph"/>
        <w:numPr>
          <w:ilvl w:val="0"/>
          <w:numId w:val="2"/>
        </w:numPr>
        <w:spacing w:before="60" w:after="60"/>
      </w:pPr>
      <w:r>
        <w:rPr>
          <w:rFonts w:ascii="Arial" w:cs="Arial" w:eastAsia="Arial" w:hAnsi="Arial"/>
          <w:b/>
          <w:bCs/>
          <w:color w:val="1A1A2E"/>
          <w:sz w:val="22"/>
          <w:szCs w:val="22"/>
        </w:rPr>
        <w:t xml:space="preserve">Local development:</w:t>
      </w:r>
      <w:r>
        <w:rPr>
          <w:rFonts w:ascii="Arial" w:cs="Arial" w:eastAsia="Arial" w:hAnsi="Arial"/>
          <w:color w:val="1A1A2E"/>
          <w:sz w:val="22"/>
          <w:szCs w:val="22"/>
        </w:rPr>
        <w:t xml:space="preserve"> EFS is substituted with bind mounts when running via docker-compose. Both local and production environments interact with real AWS cloud resources — the only difference is container location (local machine vs EKS).</w:t>
      </w:r>
    </w:p>
    <w:p>
      <w:pPr>
        <w:spacing w:before="80" w:after="0"/>
      </w:pPr>
      <w:r>
        <w:rPr>
          <w:rFonts w:ascii="Arial" w:cs="Arial" w:eastAsia="Arial" w:hAnsi="Arial"/>
          <w:color w:val="1A1A2E"/>
          <w:sz w:val="22"/>
          <w:szCs w:val="22"/>
        </w:rPr>
        <w:t xml:space="preserve"/>
      </w:r>
    </w:p>
    <w:p>
      <w:pPr>
        <w:pStyle w:val="Heading2"/>
        <w:spacing w:before="260" w:after="80"/>
      </w:pPr>
      <w:r>
        <w:rPr>
          <w:rFonts w:ascii="Arial" w:cs="Arial" w:eastAsia="Arial" w:hAnsi="Arial"/>
          <w:b/>
          <w:bCs/>
          <w:color w:val="1F4E79"/>
          <w:sz w:val="26"/>
          <w:szCs w:val="26"/>
        </w:rPr>
        <w:t xml:space="preserve">Author View and Edit Modes</w:t>
      </w:r>
    </w:p>
    <w:p>
      <w:pPr>
        <w:pStyle w:val="ListParagraph"/>
        <w:numPr>
          <w:ilvl w:val="0"/>
          <w:numId w:val="2"/>
        </w:numPr>
        <w:spacing w:before="60" w:after="60"/>
      </w:pPr>
      <w:r>
        <w:rPr>
          <w:rFonts w:ascii="Arial" w:cs="Arial" w:eastAsia="Arial" w:hAnsi="Arial"/>
          <w:b/>
          <w:bCs/>
          <w:color w:val="1A1A2E"/>
          <w:sz w:val="22"/>
          <w:szCs w:val="22"/>
        </w:rPr>
        <w:t xml:space="preserve">View mode:</w:t>
      </w:r>
      <w:r>
        <w:rPr>
          <w:rFonts w:ascii="Arial" w:cs="Arial" w:eastAsia="Arial" w:hAnsi="Arial"/>
          <w:color w:val="1A1A2E"/>
          <w:sz w:val="22"/>
          <w:szCs w:val="22"/>
        </w:rPr>
        <w:t xml:space="preserve"> The backend fetches repository content from RDS and S3. No changes can be made.</w:t>
      </w:r>
    </w:p>
    <w:p>
      <w:pPr>
        <w:pStyle w:val="ListParagraph"/>
        <w:numPr>
          <w:ilvl w:val="0"/>
          <w:numId w:val="2"/>
        </w:numPr>
        <w:spacing w:before="60" w:after="60"/>
      </w:pPr>
      <w:r>
        <w:rPr>
          <w:rFonts w:ascii="Arial" w:cs="Arial" w:eastAsia="Arial" w:hAnsi="Arial"/>
          <w:b/>
          <w:bCs/>
          <w:color w:val="1A1A2E"/>
          <w:sz w:val="22"/>
          <w:szCs w:val="22"/>
        </w:rPr>
        <w:t xml:space="preserve">Edit mode:</w:t>
      </w:r>
      <w:r>
        <w:rPr>
          <w:rFonts w:ascii="Arial" w:cs="Arial" w:eastAsia="Arial" w:hAnsi="Arial"/>
          <w:color w:val="1A1A2E"/>
          <w:sz w:val="22"/>
          <w:szCs w:val="22"/>
        </w:rPr>
        <w:t xml:space="preserve"> The backend first fetches the repo structure from EFS (or bind mount locally), then overlays files from RDS and S3. For example, if the current repo has a.txt and b.txt in /src/, and the author has already edited a.txt and added c.txt, the UI will first load a.txt and c.txt from EFS/bind mount and then load b.txt from RDS and S3.</w:t>
      </w:r>
    </w:p>
    <w:p>
      <w:pPr>
        <w:pStyle w:val="ListParagraph"/>
        <w:numPr>
          <w:ilvl w:val="0"/>
          <w:numId w:val="2"/>
        </w:numPr>
        <w:spacing w:before="60" w:after="60"/>
      </w:pPr>
      <w:r>
        <w:rPr>
          <w:rFonts w:ascii="Arial" w:cs="Arial" w:eastAsia="Arial" w:hAnsi="Arial"/>
          <w:b/>
          <w:bCs/>
          <w:color w:val="1A1A2E"/>
          <w:sz w:val="22"/>
          <w:szCs w:val="22"/>
        </w:rPr>
        <w:t xml:space="preserve">Commit status visibility:</w:t>
      </w:r>
      <w:r>
        <w:rPr>
          <w:rFonts w:ascii="Arial" w:cs="Arial" w:eastAsia="Arial" w:hAnsi="Arial"/>
          <w:color w:val="1A1A2E"/>
          <w:sz w:val="22"/>
          <w:szCs w:val="22"/>
        </w:rPr>
        <w:t xml:space="preserve"> After an author submits a commit, their author view shows the commit’s current status (pending, approved, or rejected). If the commit was rejected, the reviewer’s comment is displayed alongside the status so the author knows what to fix before resubmitting.</w:t>
      </w:r>
    </w:p>
    <w:p>
      <w:pPr>
        <w:pStyle w:val="ListParagraph"/>
        <w:numPr>
          <w:ilvl w:val="0"/>
          <w:numId w:val="2"/>
        </w:numPr>
        <w:spacing w:before="60" w:after="60"/>
      </w:pPr>
      <w:r>
        <w:rPr>
          <w:rFonts w:ascii="Arial" w:cs="Arial" w:eastAsia="Arial" w:hAnsi="Arial"/>
          <w:b/>
          <w:bCs/>
          <w:color w:val="1A1A2E"/>
          <w:sz w:val="22"/>
          <w:szCs w:val="22"/>
        </w:rPr>
        <w:t xml:space="preserve">Concurrent author conflict handling:</w:t>
      </w:r>
      <w:r>
        <w:rPr>
          <w:rFonts w:ascii="Arial" w:cs="Arial" w:eastAsia="Arial" w:hAnsi="Arial"/>
          <w:color w:val="1A1A2E"/>
          <w:sz w:val="22"/>
          <w:szCs w:val="22"/>
        </w:rPr>
        <w:t xml:space="preserve"> Each author has their own isolated draft space scoped by user_id/repo_id, so simultaneous edits do not collide at the EFS level. However, if two authors submit commits from the same parent, only the first to be approved becomes the new head; the second author’s commit is automatically rejected (sibling rejection, see Section 2.3). The second author is notified of the rejection with a message indicating the conflict, and they must re-enter edit mode — which will now load from the newly approved head — and resubmit.</w:t>
      </w:r>
    </w:p>
    <w:p>
      <w:pPr>
        <w:pBdr>
          <w:left w:val="single" w:color="3B82F6" w:sz="14" w:space="8"/>
        </w:pBdr>
        <w:spacing w:before="120" w:after="40"/>
        <w:ind w:left="180"/>
      </w:pPr>
      <w:r>
        <w:rPr>
          <w:rFonts w:ascii="Arial" w:cs="Arial" w:eastAsia="Arial" w:hAnsi="Arial"/>
          <w:b/>
          <w:bCs/>
          <w:color w:val="1E3A5F"/>
          <w:sz w:val="20"/>
          <w:szCs w:val="20"/>
        </w:rPr>
        <w:t xml:space="preserve">  💡  Logical Gap Resolved: Author Commit Status Visibility</w:t>
      </w:r>
    </w:p>
    <w:p>
      <w:pPr>
        <w:pStyle w:val="ListParagraph"/>
        <w:numPr>
          <w:ilvl w:val="0"/>
          <w:numId w:val="3"/>
        </w:numPr>
        <w:pBdr>
          <w:left w:val="single" w:color="3B82F6" w:sz="14" w:space="8"/>
        </w:pBdr>
        <w:spacing w:before="28" w:after="28"/>
        <w:ind w:left="380"/>
      </w:pPr>
      <w:r>
        <w:rPr>
          <w:rFonts w:ascii="Arial" w:cs="Arial" w:eastAsia="Arial" w:hAnsi="Arial"/>
          <w:color w:val="1E3A5F"/>
          <w:sz w:val="20"/>
          <w:szCs w:val="20"/>
        </w:rPr>
        <w:t xml:space="preserve">Authors now have a dedicated commit status panel in their view. Pending commits show a spinner; approved commits show a success state; rejected commits show the reviewer’s comment. This closes the feedback loop between reviewer and author.</w:t>
      </w:r>
    </w:p>
    <w:p>
      <w:pPr>
        <w:spacing w:before="80" w:after="0"/>
      </w:pPr>
      <w:r>
        <w:rPr>
          <w:rFonts w:ascii="Arial" w:cs="Arial" w:eastAsia="Arial" w:hAnsi="Arial"/>
          <w:color w:val="1A1A2E"/>
          <w:sz w:val="22"/>
          <w:szCs w:val="22"/>
        </w:rPr>
        <w:t xml:space="preserve"/>
      </w:r>
    </w:p>
    <w:p>
      <w:pPr>
        <w:pBdr>
          <w:left w:val="single" w:color="3B82F6" w:sz="14" w:space="8"/>
        </w:pBdr>
        <w:spacing w:before="120" w:after="40"/>
        <w:ind w:left="180"/>
      </w:pPr>
      <w:r>
        <w:rPr>
          <w:rFonts w:ascii="Arial" w:cs="Arial" w:eastAsia="Arial" w:hAnsi="Arial"/>
          <w:b/>
          <w:bCs/>
          <w:color w:val="1E3A5F"/>
          <w:sz w:val="20"/>
          <w:szCs w:val="20"/>
        </w:rPr>
        <w:t xml:space="preserve">  💡  Logical Gap Resolved: Reviewer Rejection Comments</w:t>
      </w:r>
    </w:p>
    <w:p>
      <w:pPr>
        <w:pStyle w:val="ListParagraph"/>
        <w:numPr>
          <w:ilvl w:val="0"/>
          <w:numId w:val="3"/>
        </w:numPr>
        <w:pBdr>
          <w:left w:val="single" w:color="3B82F6" w:sz="14" w:space="8"/>
        </w:pBdr>
        <w:spacing w:before="28" w:after="28"/>
        <w:ind w:left="380"/>
      </w:pPr>
      <w:r>
        <w:rPr>
          <w:rFonts w:ascii="Arial" w:cs="Arial" w:eastAsia="Arial" w:hAnsi="Arial"/>
          <w:color w:val="1E3A5F"/>
          <w:sz w:val="20"/>
          <w:szCs w:val="20"/>
        </w:rPr>
        <w:t xml:space="preserve">Reviewers can now attach a written comment when rejecting a commit. The comment is stored in Table 5 (reviewer_comment column) and surfaced in the author’s view. This replaces silent rejections with actionable feedback.</w:t>
      </w:r>
    </w:p>
    <w:p>
      <w:pPr>
        <w:spacing w:before="80" w:after="0"/>
      </w:pPr>
      <w:r>
        <w:rPr>
          <w:rFonts w:ascii="Arial" w:cs="Arial" w:eastAsia="Arial" w:hAnsi="Arial"/>
          <w:color w:val="1A1A2E"/>
          <w:sz w:val="22"/>
          <w:szCs w:val="22"/>
        </w:rPr>
        <w:t xml:space="preserve"/>
      </w:r>
    </w:p>
    <w:p>
      <w:pPr>
        <w:pBdr>
          <w:left w:val="single" w:color="F59E0B" w:sz="14" w:space="8"/>
        </w:pBdr>
        <w:spacing w:before="120" w:after="40"/>
        <w:ind w:left="180"/>
      </w:pPr>
      <w:r>
        <w:rPr>
          <w:rFonts w:ascii="Arial" w:cs="Arial" w:eastAsia="Arial" w:hAnsi="Arial"/>
          <w:b/>
          <w:bCs/>
          <w:color w:val="7C3A00"/>
          <w:sz w:val="20"/>
          <w:szCs w:val="20"/>
        </w:rPr>
        <w:t xml:space="preserve">  🔧  Technical Gap Resolved: Concurrent Author Conflict Strategy</w:t>
      </w:r>
    </w:p>
    <w:p>
      <w:pPr>
        <w:pStyle w:val="ListParagraph"/>
        <w:numPr>
          <w:ilvl w:val="0"/>
          <w:numId w:val="3"/>
        </w:numPr>
        <w:pBdr>
          <w:left w:val="single" w:color="F59E0B" w:sz="14" w:space="8"/>
        </w:pBdr>
        <w:spacing w:before="28" w:after="28"/>
        <w:ind w:left="380"/>
      </w:pPr>
      <w:r>
        <w:rPr>
          <w:rFonts w:ascii="Arial" w:cs="Arial" w:eastAsia="Arial" w:hAnsi="Arial"/>
          <w:color w:val="7C3A00"/>
          <w:sz w:val="20"/>
          <w:szCs w:val="20"/>
        </w:rPr>
        <w:t xml:space="preserve">Two authors editing from the same parent commit is a valid race condition. The resolution strategy is: the first approval wins via the optimistic locking mechanism on Table 2 (see Section 2.3). The second commit becomes a rejected sibling. The second author is informed and must rebase their changes against the new head by re-entering edit mode.</w:t>
      </w:r>
    </w:p>
    <w:p>
      <w:pPr>
        <w:pStyle w:val="ListParagraph"/>
        <w:numPr>
          <w:ilvl w:val="0"/>
          <w:numId w:val="3"/>
        </w:numPr>
        <w:pBdr>
          <w:left w:val="single" w:color="F59E0B" w:sz="14" w:space="8"/>
        </w:pBdr>
        <w:spacing w:before="28" w:after="28"/>
        <w:ind w:left="380"/>
      </w:pPr>
      <w:r>
        <w:rPr>
          <w:rFonts w:ascii="Arial" w:cs="Arial" w:eastAsia="Arial" w:hAnsi="Arial"/>
          <w:color w:val="7C3A00"/>
          <w:sz w:val="20"/>
          <w:szCs w:val="20"/>
        </w:rPr>
        <w:t xml:space="preserve">This is intentionally simple (last-writer-loses rather than merge). A merge strategy is out of scope for this project.</w:t>
      </w:r>
    </w:p>
    <w:p>
      <w:pPr>
        <w:spacing w:before="80" w:after="0"/>
      </w:pPr>
      <w:r>
        <w:rPr>
          <w:rFonts w:ascii="Arial" w:cs="Arial" w:eastAsia="Arial" w:hAnsi="Arial"/>
          <w:color w:val="1A1A2E"/>
          <w:sz w:val="22"/>
          <w:szCs w:val="22"/>
        </w:rPr>
        <w:t xml:space="preserve"/>
      </w:r>
    </w:p>
    <w:p>
      <w:pPr>
        <w:spacing w:before="80" w:after="0"/>
      </w:pPr>
      <w:r>
        <w:rPr>
          <w:rFonts w:ascii="Arial" w:cs="Arial" w:eastAsia="Arial" w:hAnsi="Arial"/>
          <w:color w:val="1A1A2E"/>
          <w:sz w:val="22"/>
          <w:szCs w:val="22"/>
        </w:rPr>
        <w:t xml:space="preserve"/>
      </w:r>
    </w:p>
    <w:p>
      <w:pPr>
        <w:pStyle w:val="Heading2"/>
        <w:spacing w:before="260" w:after="80"/>
      </w:pPr>
      <w:r>
        <w:rPr>
          <w:rFonts w:ascii="Arial" w:cs="Arial" w:eastAsia="Arial" w:hAnsi="Arial"/>
          <w:b/>
          <w:bCs/>
          <w:color w:val="1F4E79"/>
          <w:sz w:val="26"/>
          <w:szCs w:val="26"/>
        </w:rPr>
        <w:t xml:space="preserve">Infrastructure</w:t>
      </w:r>
    </w:p>
    <w:p>
      <w:pPr>
        <w:pStyle w:val="ListParagraph"/>
        <w:numPr>
          <w:ilvl w:val="0"/>
          <w:numId w:val="2"/>
        </w:numPr>
        <w:spacing w:before="60" w:after="60"/>
      </w:pPr>
      <w:r>
        <w:rPr>
          <w:rFonts w:ascii="Arial" w:cs="Arial" w:eastAsia="Arial" w:hAnsi="Arial"/>
          <w:color w:val="1A1A2E"/>
          <w:sz w:val="22"/>
          <w:szCs w:val="22"/>
        </w:rPr>
        <w:t xml:space="preserve">The backend follows the APIRouter pattern and is split into 3 microservices: identity-service, repo-service, and workflow-service.</w:t>
      </w:r>
    </w:p>
    <w:p>
      <w:pPr>
        <w:pStyle w:val="ListParagraph"/>
        <w:numPr>
          <w:ilvl w:val="0"/>
          <w:numId w:val="2"/>
        </w:numPr>
        <w:spacing w:before="60" w:after="60"/>
      </w:pPr>
      <w:r>
        <w:rPr>
          <w:rFonts w:ascii="Arial" w:cs="Arial" w:eastAsia="Arial" w:hAnsi="Arial"/>
          <w:color w:val="1A1A2E"/>
          <w:sz w:val="22"/>
          <w:szCs w:val="22"/>
        </w:rPr>
        <w:t xml:space="preserve">A docker-compose file combines all containers for local development — navigating to localhost shows the full working app.</w:t>
      </w:r>
    </w:p>
    <w:p>
      <w:pPr>
        <w:pStyle w:val="ListParagraph"/>
        <w:numPr>
          <w:ilvl w:val="0"/>
          <w:numId w:val="2"/>
        </w:numPr>
        <w:spacing w:before="60" w:after="60"/>
      </w:pPr>
      <w:r>
        <w:rPr>
          <w:rFonts w:ascii="Arial" w:cs="Arial" w:eastAsia="Arial" w:hAnsi="Arial"/>
          <w:b/>
          <w:bCs/>
          <w:color w:val="1A1A2E"/>
          <w:sz w:val="22"/>
          <w:szCs w:val="22"/>
        </w:rPr>
        <w:t xml:space="preserve">EKS</w:t>
      </w:r>
      <w:r>
        <w:rPr>
          <w:rFonts w:ascii="Arial" w:cs="Arial" w:eastAsia="Arial" w:hAnsi="Arial"/>
          <w:color w:val="1A1A2E"/>
          <w:sz w:val="22"/>
          <w:szCs w:val="22"/>
        </w:rPr>
        <w:t xml:space="preserve"> manages the production application with High Availability, Scalability, and Load Balancing via Cluster Autoscaler/Karpenter, HPA (Horizontal Pod Autoscaler), and the ALB Ingress Controller.</w:t>
      </w:r>
    </w:p>
    <w:p>
      <w:pPr>
        <w:pStyle w:val="ListParagraph"/>
        <w:numPr>
          <w:ilvl w:val="0"/>
          <w:numId w:val="2"/>
        </w:numPr>
        <w:spacing w:before="60" w:after="60"/>
      </w:pPr>
      <w:r>
        <w:rPr>
          <w:rFonts w:ascii="Arial" w:cs="Arial" w:eastAsia="Arial" w:hAnsi="Arial"/>
          <w:b/>
          <w:bCs/>
          <w:color w:val="1A1A2E"/>
          <w:sz w:val="22"/>
          <w:szCs w:val="22"/>
        </w:rPr>
        <w:t xml:space="preserve">Route53</w:t>
      </w:r>
      <w:r>
        <w:rPr>
          <w:rFonts w:ascii="Arial" w:cs="Arial" w:eastAsia="Arial" w:hAnsi="Arial"/>
          <w:color w:val="1A1A2E"/>
          <w:sz w:val="22"/>
          <w:szCs w:val="22"/>
        </w:rPr>
        <w:t xml:space="preserve"> provides a public URL with HTTPS (via ACM) and DNSSEC configured.</w:t>
      </w:r>
    </w:p>
    <w:p>
      <w:pPr>
        <w:pStyle w:val="ListParagraph"/>
        <w:numPr>
          <w:ilvl w:val="0"/>
          <w:numId w:val="2"/>
        </w:numPr>
        <w:spacing w:before="60" w:after="60"/>
      </w:pPr>
      <w:r>
        <w:rPr>
          <w:rFonts w:ascii="Arial" w:cs="Arial" w:eastAsia="Arial" w:hAnsi="Arial"/>
          <w:b/>
          <w:bCs/>
          <w:color w:val="1A1A2E"/>
          <w:sz w:val="22"/>
          <w:szCs w:val="22"/>
        </w:rPr>
        <w:t xml:space="preserve">CloudFront</w:t>
      </w:r>
      <w:r>
        <w:rPr>
          <w:rFonts w:ascii="Arial" w:cs="Arial" w:eastAsia="Arial" w:hAnsi="Arial"/>
          <w:color w:val="1A1A2E"/>
          <w:sz w:val="22"/>
          <w:szCs w:val="22"/>
        </w:rPr>
        <w:t xml:space="preserve"> sits in front of S3 as the sole entry point for file delivery. The S3 bucket is fully private — no direct public access. File URLs are served as CloudFront signed URLs generated using a CloudFront key pair stored in AWS Secrets Manager. The key pair is fetched at service startup and refreshed periodically (every 12 hours) without requiring a pod restart, so running instances never hold a stale key.</w:t>
      </w:r>
    </w:p>
    <w:p>
      <w:pPr>
        <w:pStyle w:val="ListParagraph"/>
        <w:numPr>
          <w:ilvl w:val="0"/>
          <w:numId w:val="2"/>
        </w:numPr>
        <w:spacing w:before="60" w:after="60"/>
      </w:pPr>
      <w:r>
        <w:rPr>
          <w:rFonts w:ascii="Arial" w:cs="Arial" w:eastAsia="Arial" w:hAnsi="Arial"/>
          <w:b/>
          <w:bCs/>
          <w:color w:val="1A1A2E"/>
          <w:sz w:val="22"/>
          <w:szCs w:val="22"/>
        </w:rPr>
        <w:t xml:space="preserve">AWS SES</w:t>
      </w:r>
      <w:r>
        <w:rPr>
          <w:rFonts w:ascii="Arial" w:cs="Arial" w:eastAsia="Arial" w:hAnsi="Arial"/>
          <w:color w:val="1A1A2E"/>
          <w:sz w:val="22"/>
          <w:szCs w:val="22"/>
        </w:rPr>
        <w:t xml:space="preserve"> handles transactional email: invite delivery and commit status notifications (approved or rejected) sent to authors.</w:t>
      </w:r>
    </w:p>
    <w:p>
      <w:pPr>
        <w:pBdr>
          <w:left w:val="single" w:color="22C55E" w:sz="14" w:space="8"/>
        </w:pBdr>
        <w:spacing w:before="120" w:after="40"/>
        <w:ind w:left="180"/>
      </w:pPr>
      <w:r>
        <w:rPr>
          <w:rFonts w:ascii="Arial" w:cs="Arial" w:eastAsia="Arial" w:hAnsi="Arial"/>
          <w:b/>
          <w:bCs/>
          <w:color w:val="14532D"/>
          <w:sz w:val="20"/>
          <w:szCs w:val="20"/>
        </w:rPr>
        <w:t xml:space="preserve">  ✅  Resolved: CloudFront + Signed URLs</w:t>
      </w:r>
    </w:p>
    <w:p>
      <w:pPr>
        <w:pStyle w:val="ListParagraph"/>
        <w:numPr>
          <w:ilvl w:val="0"/>
          <w:numId w:val="3"/>
        </w:numPr>
        <w:pBdr>
          <w:left w:val="single" w:color="22C55E" w:sz="14" w:space="8"/>
        </w:pBdr>
        <w:spacing w:before="28" w:after="28"/>
        <w:ind w:left="380"/>
      </w:pPr>
      <w:r>
        <w:rPr>
          <w:rFonts w:ascii="Arial" w:cs="Arial" w:eastAsia="Arial" w:hAnsi="Arial"/>
          <w:color w:val="14532D"/>
          <w:sz w:val="20"/>
          <w:szCs w:val="20"/>
        </w:rPr>
        <w:t xml:space="preserve">S3 pre-signed URLs bypass CloudFront’s cache entirely. The correct approach is CloudFront signed URLs exclusively. The S3 bucket is fully private; CloudFront is the only access point. The key pair is stored in Secrets Manager and refreshed every 12 hours in-process to avoid stale credentials.</w:t>
      </w:r>
    </w:p>
    <w:p>
      <w:pPr>
        <w:spacing w:before="80" w:after="0"/>
      </w:pPr>
      <w:r>
        <w:rPr>
          <w:rFonts w:ascii="Arial" w:cs="Arial" w:eastAsia="Arial" w:hAnsi="Arial"/>
          <w:color w:val="1A1A2E"/>
          <w:sz w:val="22"/>
          <w:szCs w:val="22"/>
        </w:rPr>
        <w:t xml:space="preserve"/>
      </w:r>
    </w:p>
    <w:p>
      <w:pPr>
        <w:pBdr>
          <w:left w:val="single" w:color="F59E0B" w:sz="14" w:space="8"/>
        </w:pBdr>
        <w:spacing w:before="120" w:after="40"/>
        <w:ind w:left="180"/>
      </w:pPr>
      <w:r>
        <w:rPr>
          <w:rFonts w:ascii="Arial" w:cs="Arial" w:eastAsia="Arial" w:hAnsi="Arial"/>
          <w:b/>
          <w:bCs/>
          <w:color w:val="7C3A00"/>
          <w:sz w:val="20"/>
          <w:szCs w:val="20"/>
        </w:rPr>
        <w:t xml:space="preserve">  🔧  Technical Gap Resolved: CloudFront Key Pair Rotation</w:t>
      </w:r>
    </w:p>
    <w:p>
      <w:pPr>
        <w:pStyle w:val="ListParagraph"/>
        <w:numPr>
          <w:ilvl w:val="0"/>
          <w:numId w:val="3"/>
        </w:numPr>
        <w:pBdr>
          <w:left w:val="single" w:color="F59E0B" w:sz="14" w:space="8"/>
        </w:pBdr>
        <w:spacing w:before="28" w:after="28"/>
        <w:ind w:left="380"/>
      </w:pPr>
      <w:r>
        <w:rPr>
          <w:rFonts w:ascii="Arial" w:cs="Arial" w:eastAsia="Arial" w:hAnsi="Arial"/>
          <w:color w:val="7C3A00"/>
          <w:sz w:val="20"/>
          <w:szCs w:val="20"/>
        </w:rPr>
        <w:t xml:space="preserve">Fetching the key pair only at pod startup means long-running pods hold stale credentials after a rotation. The service now schedules an in-process refresh every 12 hours using a background task, replacing the in-memory key pair without a restart. Secrets Manager rotation and the refresh interval should be kept in sync.</w:t>
      </w:r>
    </w:p>
    <w:p>
      <w:pPr>
        <w:spacing w:before="80" w:after="0"/>
      </w:pPr>
      <w:r>
        <w:rPr>
          <w:rFonts w:ascii="Arial" w:cs="Arial" w:eastAsia="Arial" w:hAnsi="Arial"/>
          <w:color w:val="1A1A2E"/>
          <w:sz w:val="22"/>
          <w:szCs w:val="22"/>
        </w:rPr>
        <w:t xml:space="preserve"/>
      </w:r>
    </w:p>
    <w:p>
      <w:pPr>
        <w:pBdr>
          <w:left w:val="single" w:color="3B82F6" w:sz="14" w:space="8"/>
        </w:pBdr>
        <w:spacing w:before="120" w:after="40"/>
        <w:ind w:left="180"/>
      </w:pPr>
      <w:r>
        <w:rPr>
          <w:rFonts w:ascii="Arial" w:cs="Arial" w:eastAsia="Arial" w:hAnsi="Arial"/>
          <w:b/>
          <w:bCs/>
          <w:color w:val="1E3A5F"/>
          <w:sz w:val="20"/>
          <w:szCs w:val="20"/>
        </w:rPr>
        <w:t xml:space="preserve">  💡  Logical Gap Resolved: Notification System</w:t>
      </w:r>
    </w:p>
    <w:p>
      <w:pPr>
        <w:pStyle w:val="ListParagraph"/>
        <w:numPr>
          <w:ilvl w:val="0"/>
          <w:numId w:val="3"/>
        </w:numPr>
        <w:pBdr>
          <w:left w:val="single" w:color="3B82F6" w:sz="14" w:space="8"/>
        </w:pBdr>
        <w:spacing w:before="28" w:after="28"/>
        <w:ind w:left="380"/>
      </w:pPr>
      <w:r>
        <w:rPr>
          <w:rFonts w:ascii="Arial" w:cs="Arial" w:eastAsia="Arial" w:hAnsi="Arial"/>
          <w:color w:val="1E3A5F"/>
          <w:sz w:val="20"/>
          <w:szCs w:val="20"/>
        </w:rPr>
        <w:t xml:space="preserve">AWS SES now handles two notification types in addition to invite emails:</w:t>
      </w:r>
    </w:p>
    <w:p>
      <w:pPr>
        <w:pStyle w:val="ListParagraph"/>
        <w:numPr>
          <w:ilvl w:val="0"/>
          <w:numId w:val="3"/>
        </w:numPr>
        <w:pBdr>
          <w:left w:val="single" w:color="3B82F6" w:sz="14" w:space="8"/>
        </w:pBdr>
        <w:spacing w:before="28" w:after="28"/>
        <w:ind w:left="380"/>
      </w:pPr>
      <w:r>
        <w:rPr>
          <w:rFonts w:ascii="Arial" w:cs="Arial" w:eastAsia="Arial" w:hAnsi="Arial"/>
          <w:color w:val="1E3A5F"/>
          <w:sz w:val="20"/>
          <w:szCs w:val="20"/>
        </w:rPr>
        <w:t xml:space="preserve">Commit approved — author receives an email when their commit is approved and becomes the new head.</w:t>
      </w:r>
    </w:p>
    <w:p>
      <w:pPr>
        <w:pStyle w:val="ListParagraph"/>
        <w:numPr>
          <w:ilvl w:val="0"/>
          <w:numId w:val="3"/>
        </w:numPr>
        <w:pBdr>
          <w:left w:val="single" w:color="3B82F6" w:sz="14" w:space="8"/>
        </w:pBdr>
        <w:spacing w:before="28" w:after="28"/>
        <w:ind w:left="380"/>
      </w:pPr>
      <w:r>
        <w:rPr>
          <w:rFonts w:ascii="Arial" w:cs="Arial" w:eastAsia="Arial" w:hAnsi="Arial"/>
          <w:color w:val="1E3A5F"/>
          <w:sz w:val="20"/>
          <w:szCs w:val="20"/>
        </w:rPr>
        <w:t xml:space="preserve">Commit rejected — author receives an email containing the reviewer’s comment so they can act without having to check the app manually.</w:t>
      </w:r>
    </w:p>
    <w:p>
      <w:pPr>
        <w:pStyle w:val="ListParagraph"/>
        <w:numPr>
          <w:ilvl w:val="0"/>
          <w:numId w:val="3"/>
        </w:numPr>
        <w:pBdr>
          <w:left w:val="single" w:color="3B82F6" w:sz="14" w:space="8"/>
        </w:pBdr>
        <w:spacing w:before="28" w:after="28"/>
        <w:ind w:left="380"/>
      </w:pPr>
      <w:r>
        <w:rPr>
          <w:rFonts w:ascii="Arial" w:cs="Arial" w:eastAsia="Arial" w:hAnsi="Arial"/>
          <w:color w:val="1E3A5F"/>
          <w:sz w:val="20"/>
          <w:szCs w:val="20"/>
        </w:rPr>
        <w:t xml:space="preserve">These are triggered by Workflow-Service immediately after the approval transaction commits.</w:t>
      </w:r>
    </w:p>
    <w:p>
      <w:pPr>
        <w:spacing w:before="80" w:after="0"/>
      </w:pPr>
      <w:r>
        <w:rPr>
          <w:rFonts w:ascii="Arial" w:cs="Arial" w:eastAsia="Arial" w:hAnsi="Arial"/>
          <w:color w:val="1A1A2E"/>
          <w:sz w:val="22"/>
          <w:szCs w:val="22"/>
        </w:rPr>
        <w:t xml:space="preserve"/>
      </w:r>
    </w:p>
    <w:p>
      <w:pPr>
        <w:spacing w:before="80" w:after="0"/>
      </w:pPr>
      <w:r>
        <w:rPr>
          <w:rFonts w:ascii="Arial" w:cs="Arial" w:eastAsia="Arial" w:hAnsi="Arial"/>
          <w:color w:val="1A1A2E"/>
          <w:sz w:val="22"/>
          <w:szCs w:val="22"/>
        </w:rPr>
        <w:t xml:space="preserve"/>
      </w:r>
    </w:p>
    <w:p>
      <w:pPr>
        <w:pStyle w:val="Heading1"/>
        <w:spacing w:before="400" w:after="120"/>
      </w:pPr>
      <w:r>
        <w:rPr>
          <w:rFonts w:ascii="Arial" w:cs="Arial" w:eastAsia="Arial" w:hAnsi="Arial"/>
          <w:b/>
          <w:bCs/>
          <w:color w:val="2E5FA3"/>
          <w:sz w:val="32"/>
          <w:szCs w:val="32"/>
        </w:rPr>
        <w:t xml:space="preserve">2. Microservice Responsibility Split</w:t>
      </w:r>
    </w:p>
    <w:p>
      <w:pPr>
        <w:pStyle w:val="Heading2"/>
        <w:spacing w:before="260" w:after="80"/>
      </w:pPr>
      <w:r>
        <w:rPr>
          <w:rFonts w:ascii="Arial" w:cs="Arial" w:eastAsia="Arial" w:hAnsi="Arial"/>
          <w:b/>
          <w:bCs/>
          <w:color w:val="1F4E79"/>
          <w:sz w:val="26"/>
          <w:szCs w:val="26"/>
        </w:rPr>
        <w:t xml:space="preserve">2.1  Identity-Service (The Gatekeeper)</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Authoritative source for User Identity and Repo Permissions. Acts as the bridge to AWS Cognito and manages JWT issuance. Utilizes Cognito Post-Confirmation Triggers to ensure Table 1 (Associations) remains the source of truth for repository access.</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POST /v1/auth/register — Orchestrates user creation in Cognito and initializes metadata.</w:t>
      </w:r>
    </w:p>
    <w:p>
      <w:pPr>
        <w:pStyle w:val="ListParagraph"/>
        <w:numPr>
          <w:ilvl w:val="0"/>
          <w:numId w:val="2"/>
        </w:numPr>
        <w:spacing w:before="60" w:after="60"/>
      </w:pPr>
      <w:r>
        <w:rPr>
          <w:rFonts w:ascii="Arial" w:cs="Arial" w:eastAsia="Arial" w:hAnsi="Arial"/>
          <w:b/>
          <w:bCs/>
          <w:color w:val="1A1A2E"/>
          <w:sz w:val="22"/>
          <w:szCs w:val="22"/>
        </w:rPr>
        <w:t xml:space="preserve">POST /v1/auth/login</w:t>
      </w:r>
      <w:r>
        <w:rPr>
          <w:rFonts w:ascii="Arial" w:cs="Arial" w:eastAsia="Arial" w:hAnsi="Arial"/>
          <w:color w:val="1A1A2E"/>
          <w:sz w:val="22"/>
          <w:szCs w:val="22"/>
        </w:rPr>
        <w:t xml:space="preserve"> — Issues the JWT Passport. The payload contains only user_id and a repo_count hint (not a full role map) to keep the token lightweight.</w:t>
      </w:r>
    </w:p>
    <w:p>
      <w:pPr>
        <w:pStyle w:val="ListParagraph"/>
        <w:numPr>
          <w:ilvl w:val="0"/>
          <w:numId w:val="2"/>
        </w:numPr>
        <w:spacing w:before="60" w:after="60"/>
      </w:pPr>
      <w:r>
        <w:rPr>
          <w:rFonts w:ascii="Arial" w:cs="Arial" w:eastAsia="Arial" w:hAnsi="Arial"/>
          <w:color w:val="1A1A2E"/>
          <w:sz w:val="22"/>
          <w:szCs w:val="22"/>
        </w:rPr>
        <w:t xml:space="preserve">POST /v1/auth/refresh — Rotates short-lived access tokens using Cognito refresh tokens.</w:t>
      </w:r>
    </w:p>
    <w:p>
      <w:pPr>
        <w:pStyle w:val="ListParagraph"/>
        <w:numPr>
          <w:ilvl w:val="0"/>
          <w:numId w:val="2"/>
        </w:numPr>
        <w:spacing w:before="60" w:after="60"/>
      </w:pPr>
      <w:r>
        <w:rPr>
          <w:rFonts w:ascii="Arial" w:cs="Arial" w:eastAsia="Arial" w:hAnsi="Arial"/>
          <w:color w:val="1A1A2E"/>
          <w:sz w:val="22"/>
          <w:szCs w:val="22"/>
        </w:rPr>
        <w:t xml:space="preserve">GET /v1/users/me/repos — Queries Table 1 to provide the dashboard with the user’s accessible repositories.</w:t>
      </w:r>
    </w:p>
    <w:p>
      <w:pPr>
        <w:pStyle w:val="ListParagraph"/>
        <w:numPr>
          <w:ilvl w:val="0"/>
          <w:numId w:val="2"/>
        </w:numPr>
        <w:spacing w:before="60" w:after="60"/>
      </w:pPr>
      <w:r>
        <w:rPr>
          <w:rFonts w:ascii="Arial" w:cs="Arial" w:eastAsia="Arial" w:hAnsi="Arial"/>
          <w:color w:val="1A1A2E"/>
          <w:sz w:val="22"/>
          <w:szCs w:val="22"/>
        </w:rPr>
        <w:t xml:space="preserve">POST /v1/repos/{id}/invites — Generates a cryptographically secure token with a 72-hour TTL, writes it to Table 7, and triggers AWS SES for email delivery.</w:t>
      </w:r>
    </w:p>
    <w:p>
      <w:pPr>
        <w:pStyle w:val="ListParagraph"/>
        <w:numPr>
          <w:ilvl w:val="0"/>
          <w:numId w:val="2"/>
        </w:numPr>
        <w:spacing w:before="60" w:after="60"/>
      </w:pPr>
      <w:r>
        <w:rPr>
          <w:rFonts w:ascii="Arial" w:cs="Arial" w:eastAsia="Arial" w:hAnsi="Arial"/>
          <w:color w:val="1A1A2E"/>
          <w:sz w:val="22"/>
          <w:szCs w:val="22"/>
        </w:rPr>
        <w:t xml:space="preserve">POST /v1/invites/accept/{token} — Validates the invite token, checks expiry against Table 7, and writes the new association to Table 1. Returns 410 Gone for expired tokens.</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/v1/internal/memberships — Synchronous endpoint used by Workflow-Service to assign “Admin” to a user upon repo creation.</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GET /v1/internal/repos/{id}/role?user_id={uid} — Called by downstream services on the first request to a protected repo endpoint. Returns the role for that specific user/repo pair. The calling service caches the result in-memory with a TTL matching the JWT expiry so the lookup is only done once per session per repo.</w:t>
      </w:r>
    </w:p>
    <w:p>
      <w:pPr>
        <w:pBdr>
          <w:left w:val="single" w:color="22C55E" w:sz="14" w:space="8"/>
        </w:pBdr>
        <w:spacing w:before="120" w:after="40"/>
        <w:ind w:left="180"/>
      </w:pPr>
      <w:r>
        <w:rPr>
          <w:rFonts w:ascii="Arial" w:cs="Arial" w:eastAsia="Arial" w:hAnsi="Arial"/>
          <w:b/>
          <w:bCs/>
          <w:color w:val="14532D"/>
          <w:sz w:val="20"/>
          <w:szCs w:val="20"/>
        </w:rPr>
        <w:t xml:space="preserve">  ✅  Resolved: JWT Payload Size</w:t>
      </w:r>
    </w:p>
    <w:p>
      <w:pPr>
        <w:pStyle w:val="ListParagraph"/>
        <w:numPr>
          <w:ilvl w:val="0"/>
          <w:numId w:val="3"/>
        </w:numPr>
        <w:pBdr>
          <w:left w:val="single" w:color="22C55E" w:sz="14" w:space="8"/>
        </w:pBdr>
        <w:spacing w:before="28" w:after="28"/>
        <w:ind w:left="380"/>
      </w:pPr>
      <w:r>
        <w:rPr>
          <w:rFonts w:ascii="Arial" w:cs="Arial" w:eastAsia="Arial" w:hAnsi="Arial"/>
          <w:color w:val="14532D"/>
          <w:sz w:val="20"/>
          <w:szCs w:val="20"/>
        </w:rPr>
        <w:t xml:space="preserve">The JWT now contains only user_id and a repo_count hint. Role resolution is lazy: on the first request to a protected endpoint, the service calls GET /v1/internal/repos/{id}/role, then caches the result in-memory for the remainder of the session. The token never bloats regardless of how many repositories the user joins.</w:t>
      </w:r>
    </w:p>
    <w:p>
      <w:pPr>
        <w:spacing w:before="80" w:after="0"/>
      </w:pPr>
      <w:r>
        <w:rPr>
          <w:rFonts w:ascii="Arial" w:cs="Arial" w:eastAsia="Arial" w:hAnsi="Arial"/>
          <w:color w:val="1A1A2E"/>
          <w:sz w:val="22"/>
          <w:szCs w:val="22"/>
        </w:rPr>
        <w:t xml:space="preserve"/>
      </w:r>
    </w:p>
    <w:p>
      <w:pPr>
        <w:spacing w:before="80" w:after="0"/>
      </w:pPr>
      <w:r>
        <w:rPr>
          <w:rFonts w:ascii="Arial" w:cs="Arial" w:eastAsia="Arial" w:hAnsi="Arial"/>
          <w:color w:val="1A1A2E"/>
          <w:sz w:val="22"/>
          <w:szCs w:val="22"/>
        </w:rPr>
        <w:t xml:space="preserve"/>
      </w:r>
    </w:p>
    <w:p>
      <w:pPr>
        <w:pStyle w:val="Heading2"/>
        <w:spacing w:before="260" w:after="80"/>
      </w:pPr>
      <w:r>
        <w:rPr>
          <w:rFonts w:ascii="Arial" w:cs="Arial" w:eastAsia="Arial" w:hAnsi="Arial"/>
          <w:b/>
          <w:bCs/>
          <w:color w:val="1F4E79"/>
          <w:sz w:val="26"/>
          <w:szCs w:val="26"/>
        </w:rPr>
        <w:t xml:space="preserve">2.2  Repo-Service (The IO Hub)</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The “Overlay File System.” Manages the intersection of transient drafts (EFS/Bind Mounts) and permanent versioned data (S3). Utilizes asynchronous workers for heavy I/O tasks to keep the online IDE responsive.</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b/>
          <w:bCs/>
          <w:color w:val="1A1A2E"/>
          <w:sz w:val="22"/>
          <w:szCs w:val="22"/>
        </w:rPr>
        <w:t xml:space="preserve">GET /v1/repos/{id}/explorer?mode={view|edit}</w:t>
      </w:r>
      <w:r>
        <w:rPr>
          <w:rFonts w:ascii="Arial" w:cs="Arial" w:eastAsia="Arial" w:hAnsi="Arial"/>
          <w:color w:val="1A1A2E"/>
          <w:sz w:val="22"/>
          <w:szCs w:val="22"/>
        </w:rPr>
        <w:t xml:space="preserve"> — Returns a merged directory tree. In view mode, provides CloudFront signed URLs for files. In edit mode, prioritizes files found in the DRAFT_STORAGE_PATH (EFS/Bind Mount). Binary files (.png, .jpg, .pdf) are flagged with a is_binary: true field so the frontend can render a download link rather than attempt a text diff.</w:t>
      </w:r>
    </w:p>
    <w:p>
      <w:pPr>
        <w:pStyle w:val="ListParagraph"/>
        <w:numPr>
          <w:ilvl w:val="0"/>
          <w:numId w:val="2"/>
        </w:numPr>
        <w:spacing w:before="60" w:after="60"/>
      </w:pPr>
      <w:r>
        <w:rPr>
          <w:rFonts w:ascii="Arial" w:cs="Arial" w:eastAsia="Arial" w:hAnsi="Arial"/>
          <w:color w:val="1A1A2E"/>
          <w:sz w:val="22"/>
          <w:szCs w:val="22"/>
        </w:rPr>
        <w:t xml:space="preserve">POST /v1/repos/{id}/drafts/save — Writes IDE text changes directly to the EFS draft path using non-blocking I/O.</w:t>
      </w:r>
    </w:p>
    <w:p>
      <w:pPr>
        <w:pStyle w:val="ListParagraph"/>
        <w:numPr>
          <w:ilvl w:val="0"/>
          <w:numId w:val="2"/>
        </w:numPr>
        <w:spacing w:before="60" w:after="60"/>
      </w:pPr>
      <w:r>
        <w:rPr>
          <w:rFonts w:ascii="Arial" w:cs="Arial" w:eastAsia="Arial" w:hAnsi="Arial"/>
          <w:color w:val="1A1A2E"/>
          <w:sz w:val="22"/>
          <w:szCs w:val="22"/>
        </w:rPr>
        <w:t xml:space="preserve">POST /v1/repos/{id}/drafts/upload — Handles multipart binary uploads (images, PDFs) to the draft folder.</w:t>
      </w:r>
    </w:p>
    <w:p>
      <w:pPr>
        <w:pStyle w:val="ListParagraph"/>
        <w:numPr>
          <w:ilvl w:val="0"/>
          <w:numId w:val="2"/>
        </w:numPr>
        <w:spacing w:before="60" w:after="60"/>
      </w:pPr>
      <w:r>
        <w:rPr>
          <w:rFonts w:ascii="Arial" w:cs="Arial" w:eastAsia="Arial" w:hAnsi="Arial"/>
          <w:color w:val="1A1A2E"/>
          <w:sz w:val="22"/>
          <w:szCs w:val="22"/>
        </w:rPr>
        <w:t xml:space="preserve">GET /v1/repos/{id}/archive — Returns 202 Accepted with a task_id. An internal worker zips the current hybrid state and uploads it to a temporary S3 location. The frontend polls the task endpoint and shows a progress indicator until the ZIP is ready or an error is returned.</w:t>
      </w:r>
    </w:p>
    <w:p>
      <w:pPr>
        <w:pStyle w:val="ListParagraph"/>
        <w:numPr>
          <w:ilvl w:val="0"/>
          <w:numId w:val="2"/>
        </w:numPr>
        <w:spacing w:before="60" w:after="60"/>
      </w:pPr>
      <w:r>
        <w:rPr>
          <w:rFonts w:ascii="Arial" w:cs="Arial" w:eastAsia="Arial" w:hAnsi="Arial"/>
          <w:color w:val="1A1A2E"/>
          <w:sz w:val="22"/>
          <w:szCs w:val="22"/>
        </w:rPr>
        <w:t xml:space="preserve">GET /v1/repos/{id}/tasks/{task_id} — Polling endpoint for the frontend to track ZIP generation or S3 sync status. Returns one of: pending, complete (with a download URL), or failed (with an error message).</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/v1/internal/sync-blobs — Initiates transfer of draft files to permanent S3 storage. For each file, checks Table 6 for an existing content_hash before uploading; skips upload if already present. Returns resulting content_hashes to Workflow-Service.</w:t>
      </w:r>
    </w:p>
    <w:p>
      <w:pPr>
        <w:pStyle w:val="ListParagraph"/>
        <w:numPr>
          <w:ilvl w:val="0"/>
          <w:numId w:val="2"/>
        </w:numPr>
        <w:spacing w:before="60" w:after="60"/>
      </w:pPr>
      <w:r>
        <w:rPr>
          <w:rFonts w:ascii="Arial" w:cs="Arial" w:eastAsia="Arial" w:hAnsi="Arial"/>
          <w:b/>
          <w:bCs/>
          <w:color w:val="1A1A2E"/>
          <w:sz w:val="22"/>
          <w:szCs w:val="22"/>
        </w:rPr>
        <w:t xml:space="preserve">Internal Cleanup:</w:t>
      </w:r>
      <w:r>
        <w:rPr>
          <w:rFonts w:ascii="Arial" w:cs="Arial" w:eastAsia="Arial" w:hAnsi="Arial"/>
          <w:color w:val="1A1A2E"/>
          <w:sz w:val="22"/>
          <w:szCs w:val="22"/>
        </w:rPr>
        <w:t xml:space="preserve"> DELETE /v1/internal/drafts/{user_id}/{repo_id} — Consumes an AWS SQS message to wipe the EFS draft folder after a successful commit approval.</w:t>
      </w:r>
    </w:p>
    <w:p>
      <w:pPr>
        <w:pBdr>
          <w:left w:val="single" w:color="22C55E" w:sz="14" w:space="8"/>
        </w:pBdr>
        <w:spacing w:before="120" w:after="40"/>
        <w:ind w:left="180"/>
      </w:pPr>
      <w:r>
        <w:rPr>
          <w:rFonts w:ascii="Arial" w:cs="Arial" w:eastAsia="Arial" w:hAnsi="Arial"/>
          <w:b/>
          <w:bCs/>
          <w:color w:val="14532D"/>
          <w:sz w:val="20"/>
          <w:szCs w:val="20"/>
        </w:rPr>
        <w:t xml:space="preserve">  ✅  Resolved: SQS Everywhere (Redis Dropped)</w:t>
      </w:r>
    </w:p>
    <w:p>
      <w:pPr>
        <w:pStyle w:val="ListParagraph"/>
        <w:numPr>
          <w:ilvl w:val="0"/>
          <w:numId w:val="3"/>
        </w:numPr>
        <w:pBdr>
          <w:left w:val="single" w:color="22C55E" w:sz="14" w:space="8"/>
        </w:pBdr>
        <w:spacing w:before="28" w:after="28"/>
        <w:ind w:left="380"/>
      </w:pPr>
      <w:r>
        <w:rPr>
          <w:rFonts w:ascii="Arial" w:cs="Arial" w:eastAsia="Arial" w:hAnsi="Arial"/>
          <w:color w:val="14532D"/>
          <w:sz w:val="20"/>
          <w:szCs w:val="20"/>
        </w:rPr>
        <w:t xml:space="preserve">AWS SQS is used in both local and production environments. Locally, authenticate via AWS_ACCESS_KEY_ID / AWS_SECRET_ACCESS_KEY in docker-compose.yml. In production, EKS pods receive permissions via IRSA (IAM Roles for Service Accounts). The SQS consumer code is identical in both environments — no Redis, no dual code paths.</w:t>
      </w:r>
    </w:p>
    <w:p>
      <w:pPr>
        <w:spacing w:before="80" w:after="0"/>
      </w:pPr>
      <w:r>
        <w:rPr>
          <w:rFonts w:ascii="Arial" w:cs="Arial" w:eastAsia="Arial" w:hAnsi="Arial"/>
          <w:color w:val="1A1A2E"/>
          <w:sz w:val="22"/>
          <w:szCs w:val="22"/>
        </w:rPr>
        <w:t xml:space="preserve"/>
      </w:r>
    </w:p>
    <w:p>
      <w:pPr>
        <w:pBdr>
          <w:left w:val="single" w:color="3B82F6" w:sz="14" w:space="8"/>
        </w:pBdr>
        <w:spacing w:before="120" w:after="40"/>
        <w:ind w:left="180"/>
      </w:pPr>
      <w:r>
        <w:rPr>
          <w:rFonts w:ascii="Arial" w:cs="Arial" w:eastAsia="Arial" w:hAnsi="Arial"/>
          <w:b/>
          <w:bCs/>
          <w:color w:val="1E3A5F"/>
          <w:sz w:val="20"/>
          <w:szCs w:val="20"/>
        </w:rPr>
        <w:t xml:space="preserve">  💡  Logical Gap Resolved: Archive Download Feedback</w:t>
      </w:r>
    </w:p>
    <w:p>
      <w:pPr>
        <w:pStyle w:val="ListParagraph"/>
        <w:numPr>
          <w:ilvl w:val="0"/>
          <w:numId w:val="3"/>
        </w:numPr>
        <w:pBdr>
          <w:left w:val="single" w:color="3B82F6" w:sz="14" w:space="8"/>
        </w:pBdr>
        <w:spacing w:before="28" w:after="28"/>
        <w:ind w:left="380"/>
      </w:pPr>
      <w:r>
        <w:rPr>
          <w:rFonts w:ascii="Arial" w:cs="Arial" w:eastAsia="Arial" w:hAnsi="Arial"/>
          <w:color w:val="1E3A5F"/>
          <w:sz w:val="20"/>
          <w:szCs w:val="20"/>
        </w:rPr>
        <w:t xml:space="preserve">The archive endpoint now returns a task_id immediately (202 Accepted). The frontend displays a progress indicator while polling GET /v1/repos/{id}/tasks/{task_id}. On success, the download link is presented. On failure, a descriptive error message is shown. The user is never left with a stalled UI.</w:t>
      </w:r>
    </w:p>
    <w:p>
      <w:pPr>
        <w:spacing w:before="80" w:after="0"/>
      </w:pPr>
      <w:r>
        <w:rPr>
          <w:rFonts w:ascii="Arial" w:cs="Arial" w:eastAsia="Arial" w:hAnsi="Arial"/>
          <w:color w:val="1A1A2E"/>
          <w:sz w:val="22"/>
          <w:szCs w:val="22"/>
        </w:rPr>
        <w:t xml:space="preserve"/>
      </w:r>
    </w:p>
    <w:p>
      <w:pPr>
        <w:pBdr>
          <w:left w:val="single" w:color="F59E0B" w:sz="14" w:space="8"/>
        </w:pBdr>
        <w:spacing w:before="120" w:after="40"/>
        <w:ind w:left="180"/>
      </w:pPr>
      <w:r>
        <w:rPr>
          <w:rFonts w:ascii="Arial" w:cs="Arial" w:eastAsia="Arial" w:hAnsi="Arial"/>
          <w:b/>
          <w:bCs/>
          <w:color w:val="7C3A00"/>
          <w:sz w:val="20"/>
          <w:szCs w:val="20"/>
        </w:rPr>
        <w:t xml:space="preserve">  🔧  Technical Gap Resolved: Binary File Diff</w:t>
      </w:r>
    </w:p>
    <w:p>
      <w:pPr>
        <w:pStyle w:val="ListParagraph"/>
        <w:numPr>
          <w:ilvl w:val="0"/>
          <w:numId w:val="3"/>
        </w:numPr>
        <w:pBdr>
          <w:left w:val="single" w:color="F59E0B" w:sz="14" w:space="8"/>
        </w:pBdr>
        <w:spacing w:before="28" w:after="28"/>
        <w:ind w:left="380"/>
      </w:pPr>
      <w:r>
        <w:rPr>
          <w:rFonts w:ascii="Arial" w:cs="Arial" w:eastAsia="Arial" w:hAnsi="Arial"/>
          <w:color w:val="7C3A00"/>
          <w:sz w:val="20"/>
          <w:szCs w:val="20"/>
        </w:rPr>
        <w:t xml:space="preserve">The explorer endpoint now flags binary files with is_binary: true. The reviewer UI uses this flag to show a “Binary file changed” label with a before/after download option rather than attempting a text diff, which would be meaningless for images or PDFs.</w:t>
      </w:r>
    </w:p>
    <w:p>
      <w:pPr>
        <w:spacing w:before="80" w:after="0"/>
      </w:pPr>
      <w:r>
        <w:rPr>
          <w:rFonts w:ascii="Arial" w:cs="Arial" w:eastAsia="Arial" w:hAnsi="Arial"/>
          <w:color w:val="1A1A2E"/>
          <w:sz w:val="22"/>
          <w:szCs w:val="22"/>
        </w:rPr>
        <w:t xml:space="preserve"/>
      </w:r>
    </w:p>
    <w:p>
      <w:pPr>
        <w:spacing w:before="80" w:after="0"/>
      </w:pPr>
      <w:r>
        <w:rPr>
          <w:rFonts w:ascii="Arial" w:cs="Arial" w:eastAsia="Arial" w:hAnsi="Arial"/>
          <w:color w:val="1A1A2E"/>
          <w:sz w:val="22"/>
          <w:szCs w:val="22"/>
        </w:rPr>
        <w:t xml:space="preserve"/>
      </w:r>
    </w:p>
    <w:p>
      <w:pPr>
        <w:pStyle w:val="Heading2"/>
        <w:spacing w:before="260" w:after="80"/>
      </w:pPr>
      <w:r>
        <w:rPr>
          <w:rFonts w:ascii="Arial" w:cs="Arial" w:eastAsia="Arial" w:hAnsi="Arial"/>
          <w:b/>
          <w:bCs/>
          <w:color w:val="1F4E79"/>
          <w:sz w:val="26"/>
          <w:szCs w:val="26"/>
        </w:rPr>
        <w:t xml:space="preserve">2.3  Workflow-Service (The Logic Engine)</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The “Git” State Machine. Manages relational metadata (Tables 2, 3, 4, 5, and 6) and orchestrates the lifecycle of a commit from “Pending” to “Approved/Rejected.”</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b/>
          <w:bCs/>
          <w:color w:val="1A1A2E"/>
          <w:sz w:val="22"/>
          <w:szCs w:val="22"/>
        </w:rPr>
        <w:t xml:space="preserve">POST /v1/repos/create</w:t>
      </w:r>
      <w:r>
        <w:rPr>
          <w:rFonts w:ascii="Arial" w:cs="Arial" w:eastAsia="Arial" w:hAnsi="Arial"/>
          <w:color w:val="1A1A2E"/>
          <w:sz w:val="22"/>
          <w:szCs w:val="22"/>
        </w:rPr>
        <w:t xml:space="preserve"> — Atomic Logic: Initializes Table 2 (Metadata) and calls Identity-Service to assign Admin rights. If the downstream call fails, it rolls back the database record to prevent orphaned repos.</w:t>
      </w:r>
    </w:p>
    <w:p>
      <w:pPr>
        <w:pStyle w:val="ListParagraph"/>
        <w:numPr>
          <w:ilvl w:val="0"/>
          <w:numId w:val="2"/>
        </w:numPr>
        <w:spacing w:before="60" w:after="60"/>
      </w:pPr>
      <w:r>
        <w:rPr>
          <w:rFonts w:ascii="Arial" w:cs="Arial" w:eastAsia="Arial" w:hAnsi="Arial"/>
          <w:color w:val="1A1A2E"/>
          <w:sz w:val="22"/>
          <w:szCs w:val="22"/>
        </w:rPr>
        <w:t xml:space="preserve">POST /v1/repos/{id}/commits — Orchestrates the commit process by calling sync-blobs in Repo-Service, then calculating the tree_hash to write new records in Tables 3, 4, and 6. Returns the new commit_hash and its initial status of pending.</w:t>
      </w:r>
    </w:p>
    <w:p>
      <w:pPr>
        <w:pStyle w:val="ListParagraph"/>
        <w:numPr>
          <w:ilvl w:val="0"/>
          <w:numId w:val="2"/>
        </w:numPr>
        <w:spacing w:before="60" w:after="60"/>
      </w:pPr>
      <w:r>
        <w:rPr>
          <w:rFonts w:ascii="Arial" w:cs="Arial" w:eastAsia="Arial" w:hAnsi="Arial"/>
          <w:color w:val="1A1A2E"/>
          <w:sz w:val="22"/>
          <w:szCs w:val="22"/>
        </w:rPr>
        <w:t xml:space="preserve">GET /v1/commits/{hash}/diff — Compares the tree_hash of the proposed commit against its parent_commit_hash. Text files return a line-by-line diff; binary files return a metadata summary (name, size change, MIME type) with before/after CloudFront signed URLs.</w:t>
      </w:r>
    </w:p>
    <w:p>
      <w:pPr>
        <w:pStyle w:val="ListParagraph"/>
        <w:numPr>
          <w:ilvl w:val="0"/>
          <w:numId w:val="2"/>
        </w:numPr>
        <w:spacing w:before="60" w:after="60"/>
      </w:pPr>
      <w:r>
        <w:rPr>
          <w:rFonts w:ascii="Arial" w:cs="Arial" w:eastAsia="Arial" w:hAnsi="Arial"/>
          <w:b/>
          <w:bCs/>
          <w:color w:val="1A1A2E"/>
          <w:sz w:val="22"/>
          <w:szCs w:val="22"/>
        </w:rPr>
        <w:t xml:space="preserve">POST /v1/commits/{hash}/approve</w:t>
      </w:r>
      <w:r>
        <w:rPr>
          <w:rFonts w:ascii="Arial" w:cs="Arial" w:eastAsia="Arial" w:hAnsi="Arial"/>
          <w:color w:val="1A1A2E"/>
          <w:sz w:val="22"/>
          <w:szCs w:val="22"/>
        </w:rPr>
        <w:t xml:space="preserve"> — Uses Optimistic Locking on Table 2 to ensure only one “Head” can exist. Approves the hash, rejects all siblings with the same parent, updates the repository’s latest_hash, pushes a cleanup event to AWS SQS for Repo-Service, and triggers SES notifications to the affected authors.</w:t>
      </w:r>
    </w:p>
    <w:p>
      <w:pPr>
        <w:pStyle w:val="ListParagraph"/>
        <w:numPr>
          <w:ilvl w:val="0"/>
          <w:numId w:val="2"/>
        </w:numPr>
        <w:spacing w:before="60" w:after="60"/>
      </w:pPr>
      <w:r>
        <w:rPr>
          <w:rFonts w:ascii="Arial" w:cs="Arial" w:eastAsia="Arial" w:hAnsi="Arial"/>
          <w:b/>
          <w:bCs/>
          <w:color w:val="1A1A2E"/>
          <w:sz w:val="22"/>
          <w:szCs w:val="22"/>
        </w:rPr>
        <w:t xml:space="preserve">POST /v1/commits/{hash}/reject</w:t>
      </w:r>
      <w:r>
        <w:rPr>
          <w:rFonts w:ascii="Arial" w:cs="Arial" w:eastAsia="Arial" w:hAnsi="Arial"/>
          <w:color w:val="1A1A2E"/>
          <w:sz w:val="22"/>
          <w:szCs w:val="22"/>
        </w:rPr>
        <w:t xml:space="preserve"> — Marks the commit as rejected and stores the reviewer’s comment in Table 5. Triggers an SES notification to the author with the rejection reason.</w:t>
      </w:r>
    </w:p>
    <w:p>
      <w:pPr>
        <w:pStyle w:val="ListParagraph"/>
        <w:numPr>
          <w:ilvl w:val="0"/>
          <w:numId w:val="2"/>
        </w:numPr>
        <w:spacing w:before="60" w:after="60"/>
      </w:pPr>
      <w:r>
        <w:rPr>
          <w:rFonts w:ascii="Arial" w:cs="Arial" w:eastAsia="Arial" w:hAnsi="Arial"/>
          <w:color w:val="1A1A2E"/>
          <w:sz w:val="22"/>
          <w:szCs w:val="22"/>
        </w:rPr>
        <w:t xml:space="preserve">GET /v1/repos/{id}/history — Returns a linearized timeline of approved and rejected commits from Table 5, including reviewer comments on rejected entries.</w:t>
      </w:r>
    </w:p>
    <w:p>
      <w:pPr>
        <w:pStyle w:val="ListParagraph"/>
        <w:numPr>
          <w:ilvl w:val="0"/>
          <w:numId w:val="2"/>
        </w:numPr>
        <w:spacing w:before="60" w:after="60"/>
      </w:pPr>
      <w:r>
        <w:rPr>
          <w:rFonts w:ascii="Arial" w:cs="Arial" w:eastAsia="Arial" w:hAnsi="Arial"/>
          <w:b/>
          <w:bCs/>
          <w:color w:val="1A1A2E"/>
          <w:sz w:val="22"/>
          <w:szCs w:val="22"/>
        </w:rPr>
        <w:t xml:space="preserve">DELETE /v1/repos/{id}</w:t>
      </w:r>
      <w:r>
        <w:rPr>
          <w:rFonts w:ascii="Arial" w:cs="Arial" w:eastAsia="Arial" w:hAnsi="Arial"/>
          <w:color w:val="1A1A2E"/>
          <w:sz w:val="22"/>
          <w:szCs w:val="22"/>
        </w:rPr>
        <w:t xml:space="preserve"> — Admin-only. Performs a cascading cleanup: marks all pending commits as cancelled, invalidates all open invite tokens in Table 7, deletes all rows in Tables 3, 4, 5 associated with the repo, removes Table 2 metadata, and publishes an SQS message for Repo-Service to delete the EFS draft folder. The Table 1 associations are also removed so the repo no longer appears on any user’s dashboard.</w:t>
      </w:r>
    </w:p>
    <w:p>
      <w:pPr>
        <w:pBdr>
          <w:left w:val="single" w:color="22C55E" w:sz="14" w:space="8"/>
        </w:pBdr>
        <w:spacing w:before="120" w:after="40"/>
        <w:ind w:left="180"/>
      </w:pPr>
      <w:r>
        <w:rPr>
          <w:rFonts w:ascii="Arial" w:cs="Arial" w:eastAsia="Arial" w:hAnsi="Arial"/>
          <w:b/>
          <w:bCs/>
          <w:color w:val="14532D"/>
          <w:sz w:val="20"/>
          <w:szCs w:val="20"/>
        </w:rPr>
        <w:t xml:space="preserve">  ✅  Resolved: Reviewer Concurrency (Atomic Sibling Rejection)</w:t>
      </w:r>
    </w:p>
    <w:p>
      <w:pPr>
        <w:pStyle w:val="ListParagraph"/>
        <w:numPr>
          <w:ilvl w:val="0"/>
          <w:numId w:val="3"/>
        </w:numPr>
        <w:pBdr>
          <w:left w:val="single" w:color="22C55E" w:sz="14" w:space="8"/>
        </w:pBdr>
        <w:spacing w:before="28" w:after="28"/>
        <w:ind w:left="380"/>
      </w:pPr>
      <w:r>
        <w:rPr>
          <w:rFonts w:ascii="Arial" w:cs="Arial" w:eastAsia="Arial" w:hAnsi="Arial"/>
          <w:color w:val="14532D"/>
          <w:sz w:val="20"/>
          <w:szCs w:val="20"/>
        </w:rPr>
        <w:t xml:space="preserve">The approval and sibling rejection are a single atomic database transaction:</w:t>
      </w:r>
    </w:p>
    <w:p>
      <w:pPr>
        <w:pStyle w:val="ListParagraph"/>
        <w:numPr>
          <w:ilvl w:val="0"/>
          <w:numId w:val="3"/>
        </w:numPr>
        <w:pBdr>
          <w:left w:val="single" w:color="22C55E" w:sz="14" w:space="8"/>
        </w:pBdr>
        <w:spacing w:before="28" w:after="28"/>
        <w:ind w:left="380"/>
      </w:pPr>
      <w:r>
        <w:rPr>
          <w:rFonts w:ascii="Arial" w:cs="Arial" w:eastAsia="Arial" w:hAnsi="Arial"/>
          <w:color w:val="14532D"/>
          <w:sz w:val="20"/>
          <w:szCs w:val="20"/>
        </w:rPr>
        <w:t xml:space="preserve">1. SELECT the commit row with optimistic lock version check</w:t>
      </w:r>
    </w:p>
    <w:p>
      <w:pPr>
        <w:pStyle w:val="ListParagraph"/>
        <w:numPr>
          <w:ilvl w:val="0"/>
          <w:numId w:val="3"/>
        </w:numPr>
        <w:pBdr>
          <w:left w:val="single" w:color="22C55E" w:sz="14" w:space="8"/>
        </w:pBdr>
        <w:spacing w:before="28" w:after="28"/>
        <w:ind w:left="380"/>
      </w:pPr>
      <w:r>
        <w:rPr>
          <w:rFonts w:ascii="Arial" w:cs="Arial" w:eastAsia="Arial" w:hAnsi="Arial"/>
          <w:color w:val="14532D"/>
          <w:sz w:val="20"/>
          <w:szCs w:val="20"/>
        </w:rPr>
        <w:t xml:space="preserve">2. UPDATE this commit → status = ‘approved’</w:t>
      </w:r>
    </w:p>
    <w:p>
      <w:pPr>
        <w:pStyle w:val="ListParagraph"/>
        <w:numPr>
          <w:ilvl w:val="0"/>
          <w:numId w:val="3"/>
        </w:numPr>
        <w:pBdr>
          <w:left w:val="single" w:color="22C55E" w:sz="14" w:space="8"/>
        </w:pBdr>
        <w:spacing w:before="28" w:after="28"/>
        <w:ind w:left="380"/>
      </w:pPr>
      <w:r>
        <w:rPr>
          <w:rFonts w:ascii="Arial" w:cs="Arial" w:eastAsia="Arial" w:hAnsi="Arial"/>
          <w:color w:val="14532D"/>
          <w:sz w:val="20"/>
          <w:szCs w:val="20"/>
        </w:rPr>
        <w:t xml:space="preserve">3. UPDATE all rows WHERE parent_commit_hash = same AND hash != this → status = ‘rejected’</w:t>
      </w:r>
    </w:p>
    <w:p>
      <w:pPr>
        <w:pStyle w:val="ListParagraph"/>
        <w:numPr>
          <w:ilvl w:val="0"/>
          <w:numId w:val="3"/>
        </w:numPr>
        <w:pBdr>
          <w:left w:val="single" w:color="22C55E" w:sz="14" w:space="8"/>
        </w:pBdr>
        <w:spacing w:before="28" w:after="28"/>
        <w:ind w:left="380"/>
      </w:pPr>
      <w:r>
        <w:rPr>
          <w:rFonts w:ascii="Arial" w:cs="Arial" w:eastAsia="Arial" w:hAnsi="Arial"/>
          <w:color w:val="14532D"/>
          <w:sz w:val="20"/>
          <w:szCs w:val="20"/>
        </w:rPr>
        <w:t xml:space="preserve">4. UPDATE Table 2 latest_commit_hash WHERE version = expected_version</w:t>
      </w:r>
    </w:p>
    <w:p>
      <w:pPr>
        <w:pStyle w:val="ListParagraph"/>
        <w:numPr>
          <w:ilvl w:val="0"/>
          <w:numId w:val="3"/>
        </w:numPr>
        <w:pBdr>
          <w:left w:val="single" w:color="22C55E" w:sz="14" w:space="8"/>
        </w:pBdr>
        <w:spacing w:before="28" w:after="28"/>
        <w:ind w:left="380"/>
      </w:pPr>
      <w:r>
        <w:rPr>
          <w:rFonts w:ascii="Arial" w:cs="Arial" w:eastAsia="Arial" w:hAnsi="Arial"/>
          <w:color w:val="14532D"/>
          <w:sz w:val="20"/>
          <w:szCs w:val="20"/>
        </w:rPr>
        <w:t xml:space="preserve">5. If any step fails → ROLLBACK, return 409 Conflict</w:t>
      </w:r>
    </w:p>
    <w:p>
      <w:pPr>
        <w:pStyle w:val="ListParagraph"/>
        <w:numPr>
          <w:ilvl w:val="0"/>
          <w:numId w:val="3"/>
        </w:numPr>
        <w:pBdr>
          <w:left w:val="single" w:color="22C55E" w:sz="14" w:space="8"/>
        </w:pBdr>
        <w:spacing w:before="28" w:after="28"/>
        <w:ind w:left="380"/>
      </w:pPr>
      <w:r>
        <w:rPr>
          <w:rFonts w:ascii="Arial" w:cs="Arial" w:eastAsia="Arial" w:hAnsi="Arial"/>
          <w:color w:val="14532D"/>
          <w:sz w:val="20"/>
          <w:szCs w:val="20"/>
        </w:rPr>
        <w:t xml:space="preserve">Steps 2, 3, and 4 are one atomic unit managed by a SQLModel/SQLAlchemy session context manager. Two simultaneous approvals cannot both succeed.</w:t>
      </w:r>
    </w:p>
    <w:p>
      <w:pPr>
        <w:spacing w:before="80" w:after="0"/>
      </w:pPr>
      <w:r>
        <w:rPr>
          <w:rFonts w:ascii="Arial" w:cs="Arial" w:eastAsia="Arial" w:hAnsi="Arial"/>
          <w:color w:val="1A1A2E"/>
          <w:sz w:val="22"/>
          <w:szCs w:val="22"/>
        </w:rPr>
        <w:t xml:space="preserve"/>
      </w:r>
    </w:p>
    <w:p>
      <w:pPr>
        <w:pBdr>
          <w:left w:val="single" w:color="3B82F6" w:sz="14" w:space="8"/>
        </w:pBdr>
        <w:spacing w:before="120" w:after="40"/>
        <w:ind w:left="180"/>
      </w:pPr>
      <w:r>
        <w:rPr>
          <w:rFonts w:ascii="Arial" w:cs="Arial" w:eastAsia="Arial" w:hAnsi="Arial"/>
          <w:b/>
          <w:bCs/>
          <w:color w:val="1E3A5F"/>
          <w:sz w:val="20"/>
          <w:szCs w:val="20"/>
        </w:rPr>
        <w:t xml:space="preserve">  💡  Logical Gap Resolved: Repository Deletion</w:t>
      </w:r>
    </w:p>
    <w:p>
      <w:pPr>
        <w:pStyle w:val="ListParagraph"/>
        <w:numPr>
          <w:ilvl w:val="0"/>
          <w:numId w:val="3"/>
        </w:numPr>
        <w:pBdr>
          <w:left w:val="single" w:color="3B82F6" w:sz="14" w:space="8"/>
        </w:pBdr>
        <w:spacing w:before="28" w:after="28"/>
        <w:ind w:left="380"/>
      </w:pPr>
      <w:r>
        <w:rPr>
          <w:rFonts w:ascii="Arial" w:cs="Arial" w:eastAsia="Arial" w:hAnsi="Arial"/>
          <w:color w:val="1E3A5F"/>
          <w:sz w:val="20"/>
          <w:szCs w:val="20"/>
        </w:rPr>
        <w:t xml:space="preserve">Admins can now delete a repository via DELETE /v1/repos/{id}. The deletion cascades cleanly: pending commits are cancelled, invite tokens are invalidated, all relational rows are removed, EFS drafts are queued for deletion via SQS, and the repo is removed from all members’ dashboards. This prevents orphaned data in any table or storage layer.</w:t>
      </w:r>
    </w:p>
    <w:p>
      <w:pPr>
        <w:spacing w:before="80" w:after="0"/>
      </w:pPr>
      <w:r>
        <w:rPr>
          <w:rFonts w:ascii="Arial" w:cs="Arial" w:eastAsia="Arial" w:hAnsi="Arial"/>
          <w:color w:val="1A1A2E"/>
          <w:sz w:val="22"/>
          <w:szCs w:val="22"/>
        </w:rPr>
        <w:t xml:space="preserve"/>
      </w:r>
    </w:p>
    <w:p>
      <w:pPr>
        <w:spacing w:before="80" w:after="0"/>
      </w:pPr>
      <w:r>
        <w:rPr>
          <w:rFonts w:ascii="Arial" w:cs="Arial" w:eastAsia="Arial" w:hAnsi="Arial"/>
          <w:color w:val="1A1A2E"/>
          <w:sz w:val="22"/>
          <w:szCs w:val="22"/>
        </w:rPr>
        <w:t xml:space="preserve"/>
      </w:r>
    </w:p>
    <w:p>
      <w:pPr>
        <w:pStyle w:val="Heading1"/>
        <w:spacing w:before="400" w:after="120"/>
      </w:pPr>
      <w:r>
        <w:rPr>
          <w:rFonts w:ascii="Arial" w:cs="Arial" w:eastAsia="Arial" w:hAnsi="Arial"/>
          <w:b/>
          <w:bCs/>
          <w:color w:val="2E5FA3"/>
          <w:sz w:val="32"/>
          <w:szCs w:val="32"/>
        </w:rPr>
        <w:t xml:space="preserve">3. AWS Well-Architected Framework: Six Pillars</w:t>
      </w:r>
    </w:p>
    <w:p>
      <w:pPr>
        <w:spacing w:before="60" w:after="60"/>
      </w:pPr>
      <w:r>
        <w:rPr>
          <w:rFonts w:ascii="Arial" w:cs="Arial" w:eastAsia="Arial" w:hAnsi="Arial"/>
          <w:color w:val="1A1A2E"/>
          <w:sz w:val="22"/>
          <w:szCs w:val="22"/>
        </w:rPr>
        <w:t xml:space="preserve">The following principles serve as the architectural compass for this project. Every design decision should be evaluated against these pillars before implementation.</w:t>
      </w:r>
    </w:p>
    <w:p>
      <w:pPr>
        <w:spacing w:before="80" w:after="0"/>
      </w:pPr>
      <w:r>
        <w:rPr>
          <w:rFonts w:ascii="Arial" w:cs="Arial" w:eastAsia="Arial" w:hAnsi="Arial"/>
          <w:color w:val="1A1A2E"/>
          <w:sz w:val="22"/>
          <w:szCs w:val="22"/>
        </w:rPr>
        <w:t xml:space="preserve"/>
      </w:r>
    </w:p>
    <w:p>
      <w:pPr>
        <w:pStyle w:val="Heading2"/>
        <w:spacing w:before="260" w:after="80"/>
      </w:pPr>
      <w:r>
        <w:rPr>
          <w:rFonts w:ascii="Arial" w:cs="Arial" w:eastAsia="Arial" w:hAnsi="Arial"/>
          <w:b/>
          <w:bCs/>
          <w:color w:val="1F4E79"/>
          <w:sz w:val="26"/>
          <w:szCs w:val="26"/>
        </w:rPr>
        <w:t xml:space="preserve">Operational Excellence</w:t>
      </w:r>
    </w:p>
    <w:p>
      <w:pPr>
        <w:spacing w:before="60" w:after="60"/>
      </w:pPr>
      <w:r>
        <w:rPr>
          <w:rFonts w:ascii="Arial" w:cs="Arial" w:eastAsia="Arial" w:hAnsi="Arial"/>
          <w:i/>
          <w:iCs/>
          <w:color w:val="555555"/>
          <w:sz w:val="22"/>
          <w:szCs w:val="22"/>
        </w:rPr>
        <w:t xml:space="preserve">Focuses on running systems effectively, gaining insight into operations, and continuously improving processes.</w:t>
      </w:r>
    </w:p>
    <w:p>
      <w:pPr>
        <w:pStyle w:val="ListParagraph"/>
        <w:numPr>
          <w:ilvl w:val="0"/>
          <w:numId w:val="2"/>
        </w:numPr>
        <w:spacing w:before="60" w:after="60"/>
      </w:pPr>
      <w:r>
        <w:rPr>
          <w:rFonts w:ascii="Arial" w:cs="Arial" w:eastAsia="Arial" w:hAnsi="Arial"/>
          <w:color w:val="1A1A2E"/>
          <w:sz w:val="22"/>
          <w:szCs w:val="22"/>
        </w:rPr>
        <w:t xml:space="preserve">Perform operations as code</w:t>
      </w:r>
    </w:p>
    <w:p>
      <w:pPr>
        <w:pStyle w:val="ListParagraph"/>
        <w:numPr>
          <w:ilvl w:val="0"/>
          <w:numId w:val="2"/>
        </w:numPr>
        <w:spacing w:before="60" w:after="60"/>
      </w:pPr>
      <w:r>
        <w:rPr>
          <w:rFonts w:ascii="Arial" w:cs="Arial" w:eastAsia="Arial" w:hAnsi="Arial"/>
          <w:color w:val="1A1A2E"/>
          <w:sz w:val="22"/>
          <w:szCs w:val="22"/>
        </w:rPr>
        <w:t xml:space="preserve">Make frequent, small, reversible changes</w:t>
      </w:r>
    </w:p>
    <w:p>
      <w:pPr>
        <w:pStyle w:val="ListParagraph"/>
        <w:numPr>
          <w:ilvl w:val="0"/>
          <w:numId w:val="2"/>
        </w:numPr>
        <w:spacing w:before="60" w:after="60"/>
      </w:pPr>
      <w:r>
        <w:rPr>
          <w:rFonts w:ascii="Arial" w:cs="Arial" w:eastAsia="Arial" w:hAnsi="Arial"/>
          <w:color w:val="1A1A2E"/>
          <w:sz w:val="22"/>
          <w:szCs w:val="22"/>
        </w:rPr>
        <w:t xml:space="preserve">Refine procedures frequently</w:t>
      </w:r>
    </w:p>
    <w:p>
      <w:pPr>
        <w:pStyle w:val="ListParagraph"/>
        <w:numPr>
          <w:ilvl w:val="0"/>
          <w:numId w:val="2"/>
        </w:numPr>
        <w:spacing w:before="60" w:after="60"/>
      </w:pPr>
      <w:r>
        <w:rPr>
          <w:rFonts w:ascii="Arial" w:cs="Arial" w:eastAsia="Arial" w:hAnsi="Arial"/>
          <w:color w:val="1A1A2E"/>
          <w:sz w:val="22"/>
          <w:szCs w:val="22"/>
        </w:rPr>
        <w:t xml:space="preserve">Anticipate failure</w:t>
      </w:r>
    </w:p>
    <w:p>
      <w:pPr>
        <w:pStyle w:val="ListParagraph"/>
        <w:numPr>
          <w:ilvl w:val="0"/>
          <w:numId w:val="2"/>
        </w:numPr>
        <w:spacing w:before="60" w:after="60"/>
      </w:pPr>
      <w:r>
        <w:rPr>
          <w:rFonts w:ascii="Arial" w:cs="Arial" w:eastAsia="Arial" w:hAnsi="Arial"/>
          <w:color w:val="1A1A2E"/>
          <w:sz w:val="22"/>
          <w:szCs w:val="22"/>
        </w:rPr>
        <w:t xml:space="preserve">Learn from operational events</w:t>
      </w:r>
    </w:p>
    <w:p>
      <w:pPr>
        <w:pStyle w:val="Heading2"/>
        <w:spacing w:before="260" w:after="80"/>
      </w:pPr>
      <w:r>
        <w:rPr>
          <w:rFonts w:ascii="Arial" w:cs="Arial" w:eastAsia="Arial" w:hAnsi="Arial"/>
          <w:b/>
          <w:bCs/>
          <w:color w:val="1F4E79"/>
          <w:sz w:val="26"/>
          <w:szCs w:val="26"/>
        </w:rPr>
        <w:t xml:space="preserve">Security</w:t>
      </w:r>
    </w:p>
    <w:p>
      <w:pPr>
        <w:spacing w:before="60" w:after="60"/>
      </w:pPr>
      <w:r>
        <w:rPr>
          <w:rFonts w:ascii="Arial" w:cs="Arial" w:eastAsia="Arial" w:hAnsi="Arial"/>
          <w:i/>
          <w:iCs/>
          <w:color w:val="555555"/>
          <w:sz w:val="22"/>
          <w:szCs w:val="22"/>
        </w:rPr>
        <w:t xml:space="preserve">Focuses on protecting information, systems, and assets while delivering business value through risk assessments and mitigation strategies.</w:t>
      </w:r>
    </w:p>
    <w:p>
      <w:pPr>
        <w:pStyle w:val="ListParagraph"/>
        <w:numPr>
          <w:ilvl w:val="0"/>
          <w:numId w:val="2"/>
        </w:numPr>
        <w:spacing w:before="60" w:after="60"/>
      </w:pPr>
      <w:r>
        <w:rPr>
          <w:rFonts w:ascii="Arial" w:cs="Arial" w:eastAsia="Arial" w:hAnsi="Arial"/>
          <w:color w:val="1A1A2E"/>
          <w:sz w:val="22"/>
          <w:szCs w:val="22"/>
        </w:rPr>
        <w:t xml:space="preserve">Implement a strong identity foundation</w:t>
      </w:r>
    </w:p>
    <w:p>
      <w:pPr>
        <w:pStyle w:val="ListParagraph"/>
        <w:numPr>
          <w:ilvl w:val="0"/>
          <w:numId w:val="2"/>
        </w:numPr>
        <w:spacing w:before="60" w:after="60"/>
      </w:pPr>
      <w:r>
        <w:rPr>
          <w:rFonts w:ascii="Arial" w:cs="Arial" w:eastAsia="Arial" w:hAnsi="Arial"/>
          <w:color w:val="1A1A2E"/>
          <w:sz w:val="22"/>
          <w:szCs w:val="22"/>
        </w:rPr>
        <w:t xml:space="preserve">Enable traceability</w:t>
      </w:r>
    </w:p>
    <w:p>
      <w:pPr>
        <w:pStyle w:val="ListParagraph"/>
        <w:numPr>
          <w:ilvl w:val="0"/>
          <w:numId w:val="2"/>
        </w:numPr>
        <w:spacing w:before="60" w:after="60"/>
      </w:pPr>
      <w:r>
        <w:rPr>
          <w:rFonts w:ascii="Arial" w:cs="Arial" w:eastAsia="Arial" w:hAnsi="Arial"/>
          <w:color w:val="1A1A2E"/>
          <w:sz w:val="22"/>
          <w:szCs w:val="22"/>
        </w:rPr>
        <w:t xml:space="preserve">Apply security at all layers</w:t>
      </w:r>
    </w:p>
    <w:p>
      <w:pPr>
        <w:pStyle w:val="ListParagraph"/>
        <w:numPr>
          <w:ilvl w:val="0"/>
          <w:numId w:val="2"/>
        </w:numPr>
        <w:spacing w:before="60" w:after="60"/>
      </w:pPr>
      <w:r>
        <w:rPr>
          <w:rFonts w:ascii="Arial" w:cs="Arial" w:eastAsia="Arial" w:hAnsi="Arial"/>
          <w:color w:val="1A1A2E"/>
          <w:sz w:val="22"/>
          <w:szCs w:val="22"/>
        </w:rPr>
        <w:t xml:space="preserve">Automate security best practices</w:t>
      </w:r>
    </w:p>
    <w:p>
      <w:pPr>
        <w:pStyle w:val="ListParagraph"/>
        <w:numPr>
          <w:ilvl w:val="0"/>
          <w:numId w:val="2"/>
        </w:numPr>
        <w:spacing w:before="60" w:after="60"/>
      </w:pPr>
      <w:r>
        <w:rPr>
          <w:rFonts w:ascii="Arial" w:cs="Arial" w:eastAsia="Arial" w:hAnsi="Arial"/>
          <w:color w:val="1A1A2E"/>
          <w:sz w:val="22"/>
          <w:szCs w:val="22"/>
        </w:rPr>
        <w:t xml:space="preserve">Protect data in transit and at rest</w:t>
      </w:r>
    </w:p>
    <w:p>
      <w:pPr>
        <w:pStyle w:val="Heading2"/>
        <w:spacing w:before="260" w:after="80"/>
      </w:pPr>
      <w:r>
        <w:rPr>
          <w:rFonts w:ascii="Arial" w:cs="Arial" w:eastAsia="Arial" w:hAnsi="Arial"/>
          <w:b/>
          <w:bCs/>
          <w:color w:val="1F4E79"/>
          <w:sz w:val="26"/>
          <w:szCs w:val="26"/>
        </w:rPr>
        <w:t xml:space="preserve">Reliability</w:t>
      </w:r>
    </w:p>
    <w:p>
      <w:pPr>
        <w:spacing w:before="60" w:after="60"/>
      </w:pPr>
      <w:r>
        <w:rPr>
          <w:rFonts w:ascii="Arial" w:cs="Arial" w:eastAsia="Arial" w:hAnsi="Arial"/>
          <w:i/>
          <w:iCs/>
          <w:color w:val="555555"/>
          <w:sz w:val="22"/>
          <w:szCs w:val="22"/>
        </w:rPr>
        <w:t xml:space="preserve">Ensures a workload performs its intended function correctly and consistently when expected.</w:t>
      </w:r>
    </w:p>
    <w:p>
      <w:pPr>
        <w:pStyle w:val="ListParagraph"/>
        <w:numPr>
          <w:ilvl w:val="0"/>
          <w:numId w:val="2"/>
        </w:numPr>
        <w:spacing w:before="60" w:after="60"/>
      </w:pPr>
      <w:r>
        <w:rPr>
          <w:rFonts w:ascii="Arial" w:cs="Arial" w:eastAsia="Arial" w:hAnsi="Arial"/>
          <w:color w:val="1A1A2E"/>
          <w:sz w:val="22"/>
          <w:szCs w:val="22"/>
        </w:rPr>
        <w:t xml:space="preserve">Automatically recover from failure</w:t>
      </w:r>
    </w:p>
    <w:p>
      <w:pPr>
        <w:pStyle w:val="ListParagraph"/>
        <w:numPr>
          <w:ilvl w:val="0"/>
          <w:numId w:val="2"/>
        </w:numPr>
        <w:spacing w:before="60" w:after="60"/>
      </w:pPr>
      <w:r>
        <w:rPr>
          <w:rFonts w:ascii="Arial" w:cs="Arial" w:eastAsia="Arial" w:hAnsi="Arial"/>
          <w:color w:val="1A1A2E"/>
          <w:sz w:val="22"/>
          <w:szCs w:val="22"/>
        </w:rPr>
        <w:t xml:space="preserve">Test recovery procedures</w:t>
      </w:r>
    </w:p>
    <w:p>
      <w:pPr>
        <w:pStyle w:val="ListParagraph"/>
        <w:numPr>
          <w:ilvl w:val="0"/>
          <w:numId w:val="2"/>
        </w:numPr>
        <w:spacing w:before="60" w:after="60"/>
      </w:pPr>
      <w:r>
        <w:rPr>
          <w:rFonts w:ascii="Arial" w:cs="Arial" w:eastAsia="Arial" w:hAnsi="Arial"/>
          <w:color w:val="1A1A2E"/>
          <w:sz w:val="22"/>
          <w:szCs w:val="22"/>
        </w:rPr>
        <w:t xml:space="preserve">Scale horizontally to increase aggregate workload availability</w:t>
      </w:r>
    </w:p>
    <w:p>
      <w:pPr>
        <w:pStyle w:val="ListParagraph"/>
        <w:numPr>
          <w:ilvl w:val="0"/>
          <w:numId w:val="2"/>
        </w:numPr>
        <w:spacing w:before="60" w:after="60"/>
      </w:pPr>
      <w:r>
        <w:rPr>
          <w:rFonts w:ascii="Arial" w:cs="Arial" w:eastAsia="Arial" w:hAnsi="Arial"/>
          <w:color w:val="1A1A2E"/>
          <w:sz w:val="22"/>
          <w:szCs w:val="22"/>
        </w:rPr>
        <w:t xml:space="preserve">Stop guessing capacity</w:t>
      </w:r>
    </w:p>
    <w:p>
      <w:pPr>
        <w:pStyle w:val="Heading2"/>
        <w:spacing w:before="260" w:after="80"/>
      </w:pPr>
      <w:r>
        <w:rPr>
          <w:rFonts w:ascii="Arial" w:cs="Arial" w:eastAsia="Arial" w:hAnsi="Arial"/>
          <w:b/>
          <w:bCs/>
          <w:color w:val="1F4E79"/>
          <w:sz w:val="26"/>
          <w:szCs w:val="26"/>
        </w:rPr>
        <w:t xml:space="preserve">Performance Efficiency</w:t>
      </w:r>
    </w:p>
    <w:p>
      <w:pPr>
        <w:spacing w:before="60" w:after="60"/>
      </w:pPr>
      <w:r>
        <w:rPr>
          <w:rFonts w:ascii="Arial" w:cs="Arial" w:eastAsia="Arial" w:hAnsi="Arial"/>
          <w:i/>
          <w:iCs/>
          <w:color w:val="555555"/>
          <w:sz w:val="22"/>
          <w:szCs w:val="22"/>
        </w:rPr>
        <w:t xml:space="preserve">Focuses on structured and streamlined allocation of IT and computing resources.</w:t>
      </w:r>
    </w:p>
    <w:p>
      <w:pPr>
        <w:pStyle w:val="ListParagraph"/>
        <w:numPr>
          <w:ilvl w:val="0"/>
          <w:numId w:val="2"/>
        </w:numPr>
        <w:spacing w:before="60" w:after="60"/>
      </w:pPr>
      <w:r>
        <w:rPr>
          <w:rFonts w:ascii="Arial" w:cs="Arial" w:eastAsia="Arial" w:hAnsi="Arial"/>
          <w:color w:val="1A1A2E"/>
          <w:sz w:val="22"/>
          <w:szCs w:val="22"/>
        </w:rPr>
        <w:t xml:space="preserve">Democratize advanced technologies</w:t>
      </w:r>
    </w:p>
    <w:p>
      <w:pPr>
        <w:pStyle w:val="ListParagraph"/>
        <w:numPr>
          <w:ilvl w:val="0"/>
          <w:numId w:val="2"/>
        </w:numPr>
        <w:spacing w:before="60" w:after="60"/>
      </w:pPr>
      <w:r>
        <w:rPr>
          <w:rFonts w:ascii="Arial" w:cs="Arial" w:eastAsia="Arial" w:hAnsi="Arial"/>
          <w:color w:val="1A1A2E"/>
          <w:sz w:val="22"/>
          <w:szCs w:val="22"/>
        </w:rPr>
        <w:t xml:space="preserve">Go global in minutes</w:t>
      </w:r>
    </w:p>
    <w:p>
      <w:pPr>
        <w:pStyle w:val="ListParagraph"/>
        <w:numPr>
          <w:ilvl w:val="0"/>
          <w:numId w:val="2"/>
        </w:numPr>
        <w:spacing w:before="60" w:after="60"/>
      </w:pPr>
      <w:r>
        <w:rPr>
          <w:rFonts w:ascii="Arial" w:cs="Arial" w:eastAsia="Arial" w:hAnsi="Arial"/>
          <w:color w:val="1A1A2E"/>
          <w:sz w:val="22"/>
          <w:szCs w:val="22"/>
        </w:rPr>
        <w:t xml:space="preserve">Use serverless architectures where appropriate</w:t>
      </w:r>
    </w:p>
    <w:p>
      <w:pPr>
        <w:pStyle w:val="ListParagraph"/>
        <w:numPr>
          <w:ilvl w:val="0"/>
          <w:numId w:val="2"/>
        </w:numPr>
        <w:spacing w:before="60" w:after="60"/>
      </w:pPr>
      <w:r>
        <w:rPr>
          <w:rFonts w:ascii="Arial" w:cs="Arial" w:eastAsia="Arial" w:hAnsi="Arial"/>
          <w:color w:val="1A1A2E"/>
          <w:sz w:val="22"/>
          <w:szCs w:val="22"/>
        </w:rPr>
        <w:t xml:space="preserve">Experiment more often</w:t>
      </w:r>
    </w:p>
    <w:p>
      <w:pPr>
        <w:pStyle w:val="ListParagraph"/>
        <w:numPr>
          <w:ilvl w:val="0"/>
          <w:numId w:val="2"/>
        </w:numPr>
        <w:spacing w:before="60" w:after="60"/>
      </w:pPr>
      <w:r>
        <w:rPr>
          <w:rFonts w:ascii="Arial" w:cs="Arial" w:eastAsia="Arial" w:hAnsi="Arial"/>
          <w:color w:val="1A1A2E"/>
          <w:sz w:val="22"/>
          <w:szCs w:val="22"/>
        </w:rPr>
        <w:t xml:space="preserve">Consider mechanical sympathy</w:t>
      </w:r>
    </w:p>
    <w:p>
      <w:pPr>
        <w:pStyle w:val="Heading2"/>
        <w:spacing w:before="260" w:after="80"/>
      </w:pPr>
      <w:r>
        <w:rPr>
          <w:rFonts w:ascii="Arial" w:cs="Arial" w:eastAsia="Arial" w:hAnsi="Arial"/>
          <w:b/>
          <w:bCs/>
          <w:color w:val="1F4E79"/>
          <w:sz w:val="26"/>
          <w:szCs w:val="26"/>
        </w:rPr>
        <w:t xml:space="preserve">Cost Optimization</w:t>
      </w:r>
    </w:p>
    <w:p>
      <w:pPr>
        <w:spacing w:before="60" w:after="60"/>
      </w:pPr>
      <w:r>
        <w:rPr>
          <w:rFonts w:ascii="Arial" w:cs="Arial" w:eastAsia="Arial" w:hAnsi="Arial"/>
          <w:i/>
          <w:iCs/>
          <w:color w:val="555555"/>
          <w:sz w:val="22"/>
          <w:szCs w:val="22"/>
        </w:rPr>
        <w:t xml:space="preserve">Focuses on avoiding unnecessary costs.</w:t>
      </w:r>
    </w:p>
    <w:p>
      <w:pPr>
        <w:pStyle w:val="ListParagraph"/>
        <w:numPr>
          <w:ilvl w:val="0"/>
          <w:numId w:val="2"/>
        </w:numPr>
        <w:spacing w:before="60" w:after="60"/>
      </w:pPr>
      <w:r>
        <w:rPr>
          <w:rFonts w:ascii="Arial" w:cs="Arial" w:eastAsia="Arial" w:hAnsi="Arial"/>
          <w:color w:val="1A1A2E"/>
          <w:sz w:val="22"/>
          <w:szCs w:val="22"/>
        </w:rPr>
        <w:t xml:space="preserve">Implement cloud financial management</w:t>
      </w:r>
    </w:p>
    <w:p>
      <w:pPr>
        <w:pStyle w:val="ListParagraph"/>
        <w:numPr>
          <w:ilvl w:val="0"/>
          <w:numId w:val="2"/>
        </w:numPr>
        <w:spacing w:before="60" w:after="60"/>
      </w:pPr>
      <w:r>
        <w:rPr>
          <w:rFonts w:ascii="Arial" w:cs="Arial" w:eastAsia="Arial" w:hAnsi="Arial"/>
          <w:color w:val="1A1A2E"/>
          <w:sz w:val="22"/>
          <w:szCs w:val="22"/>
        </w:rPr>
        <w:t xml:space="preserve">Adopt a consumption model</w:t>
      </w:r>
    </w:p>
    <w:p>
      <w:pPr>
        <w:pStyle w:val="ListParagraph"/>
        <w:numPr>
          <w:ilvl w:val="0"/>
          <w:numId w:val="2"/>
        </w:numPr>
        <w:spacing w:before="60" w:after="60"/>
      </w:pPr>
      <w:r>
        <w:rPr>
          <w:rFonts w:ascii="Arial" w:cs="Arial" w:eastAsia="Arial" w:hAnsi="Arial"/>
          <w:color w:val="1A1A2E"/>
          <w:sz w:val="22"/>
          <w:szCs w:val="22"/>
        </w:rPr>
        <w:t xml:space="preserve">Measure overall efficiency</w:t>
      </w:r>
    </w:p>
    <w:p>
      <w:pPr>
        <w:pStyle w:val="ListParagraph"/>
        <w:numPr>
          <w:ilvl w:val="0"/>
          <w:numId w:val="2"/>
        </w:numPr>
        <w:spacing w:before="60" w:after="60"/>
      </w:pPr>
      <w:r>
        <w:rPr>
          <w:rFonts w:ascii="Arial" w:cs="Arial" w:eastAsia="Arial" w:hAnsi="Arial"/>
          <w:color w:val="1A1A2E"/>
          <w:sz w:val="22"/>
          <w:szCs w:val="22"/>
        </w:rPr>
        <w:t xml:space="preserve">Stop spending money on undifferentiated heavy lifting</w:t>
      </w:r>
    </w:p>
    <w:p>
      <w:pPr>
        <w:pStyle w:val="ListParagraph"/>
        <w:numPr>
          <w:ilvl w:val="0"/>
          <w:numId w:val="2"/>
        </w:numPr>
        <w:spacing w:before="60" w:after="60"/>
      </w:pPr>
      <w:r>
        <w:rPr>
          <w:rFonts w:ascii="Arial" w:cs="Arial" w:eastAsia="Arial" w:hAnsi="Arial"/>
          <w:color w:val="1A1A2E"/>
          <w:sz w:val="22"/>
          <w:szCs w:val="22"/>
        </w:rPr>
        <w:t xml:space="preserve">Analyze and attribute expenditure</w:t>
      </w:r>
    </w:p>
    <w:p>
      <w:pPr>
        <w:pStyle w:val="Heading2"/>
        <w:spacing w:before="260" w:after="80"/>
      </w:pPr>
      <w:r>
        <w:rPr>
          <w:rFonts w:ascii="Arial" w:cs="Arial" w:eastAsia="Arial" w:hAnsi="Arial"/>
          <w:b/>
          <w:bCs/>
          <w:color w:val="1F4E79"/>
          <w:sz w:val="26"/>
          <w:szCs w:val="26"/>
        </w:rPr>
        <w:t xml:space="preserve">Sustainability</w:t>
      </w:r>
    </w:p>
    <w:p>
      <w:pPr>
        <w:spacing w:before="60" w:after="60"/>
      </w:pPr>
      <w:r>
        <w:rPr>
          <w:rFonts w:ascii="Arial" w:cs="Arial" w:eastAsia="Arial" w:hAnsi="Arial"/>
          <w:i/>
          <w:iCs/>
          <w:color w:val="555555"/>
          <w:sz w:val="22"/>
          <w:szCs w:val="22"/>
        </w:rPr>
        <w:t xml:space="preserve">Focuses on minimizing environmental impacts, acknowledging the shared responsibility model.</w:t>
      </w:r>
    </w:p>
    <w:p>
      <w:pPr>
        <w:pStyle w:val="ListParagraph"/>
        <w:numPr>
          <w:ilvl w:val="0"/>
          <w:numId w:val="2"/>
        </w:numPr>
        <w:spacing w:before="60" w:after="60"/>
      </w:pPr>
      <w:r>
        <w:rPr>
          <w:rFonts w:ascii="Arial" w:cs="Arial" w:eastAsia="Arial" w:hAnsi="Arial"/>
          <w:color w:val="1A1A2E"/>
          <w:sz w:val="22"/>
          <w:szCs w:val="22"/>
        </w:rPr>
        <w:t xml:space="preserve">Understand your impact</w:t>
      </w:r>
    </w:p>
    <w:p>
      <w:pPr>
        <w:pStyle w:val="ListParagraph"/>
        <w:numPr>
          <w:ilvl w:val="0"/>
          <w:numId w:val="2"/>
        </w:numPr>
        <w:spacing w:before="60" w:after="60"/>
      </w:pPr>
      <w:r>
        <w:rPr>
          <w:rFonts w:ascii="Arial" w:cs="Arial" w:eastAsia="Arial" w:hAnsi="Arial"/>
          <w:color w:val="1A1A2E"/>
          <w:sz w:val="22"/>
          <w:szCs w:val="22"/>
        </w:rPr>
        <w:t xml:space="preserve">Establish sustainability goals</w:t>
      </w:r>
    </w:p>
    <w:p>
      <w:pPr>
        <w:pStyle w:val="ListParagraph"/>
        <w:numPr>
          <w:ilvl w:val="0"/>
          <w:numId w:val="2"/>
        </w:numPr>
        <w:spacing w:before="60" w:after="60"/>
      </w:pPr>
      <w:r>
        <w:rPr>
          <w:rFonts w:ascii="Arial" w:cs="Arial" w:eastAsia="Arial" w:hAnsi="Arial"/>
          <w:color w:val="1A1A2E"/>
          <w:sz w:val="22"/>
          <w:szCs w:val="22"/>
        </w:rPr>
        <w:t xml:space="preserve">Maximize utilization</w:t>
      </w:r>
    </w:p>
    <w:p>
      <w:pPr>
        <w:pStyle w:val="ListParagraph"/>
        <w:numPr>
          <w:ilvl w:val="0"/>
          <w:numId w:val="2"/>
        </w:numPr>
        <w:spacing w:before="60" w:after="60"/>
      </w:pPr>
      <w:r>
        <w:rPr>
          <w:rFonts w:ascii="Arial" w:cs="Arial" w:eastAsia="Arial" w:hAnsi="Arial"/>
          <w:color w:val="1A1A2E"/>
          <w:sz w:val="22"/>
          <w:szCs w:val="22"/>
        </w:rPr>
        <w:t xml:space="preserve">Anticipate and adopt new, more efficient hardware/software offerings</w:t>
      </w:r>
    </w:p>
    <w:p>
      <w:pPr>
        <w:pStyle w:val="ListParagraph"/>
        <w:numPr>
          <w:ilvl w:val="0"/>
          <w:numId w:val="2"/>
        </w:numPr>
        <w:spacing w:before="60" w:after="60"/>
      </w:pPr>
      <w:r>
        <w:rPr>
          <w:rFonts w:ascii="Arial" w:cs="Arial" w:eastAsia="Arial" w:hAnsi="Arial"/>
          <w:color w:val="1A1A2E"/>
          <w:sz w:val="22"/>
          <w:szCs w:val="22"/>
        </w:rPr>
        <w:t xml:space="preserve">Use managed services</w:t>
      </w:r>
    </w:p>
    <w:p>
      <w:pPr>
        <w:spacing w:before="80" w:after="0"/>
      </w:pPr>
      <w:r>
        <w:rPr>
          <w:rFonts w:ascii="Arial" w:cs="Arial" w:eastAsia="Arial" w:hAnsi="Arial"/>
          <w:color w:val="1A1A2E"/>
          <w:sz w:val="22"/>
          <w:szCs w:val="22"/>
        </w:rPr>
        <w:t xml:space="preserve"/>
      </w:r>
    </w:p>
    <w:p>
      <w:pPr>
        <w:pStyle w:val="Heading1"/>
        <w:spacing w:before="400" w:after="120"/>
      </w:pPr>
      <w:r>
        <w:rPr>
          <w:rFonts w:ascii="Arial" w:cs="Arial" w:eastAsia="Arial" w:hAnsi="Arial"/>
          <w:b/>
          <w:bCs/>
          <w:color w:val="2E5FA3"/>
          <w:sz w:val="32"/>
          <w:szCs w:val="32"/>
        </w:rPr>
        <w:t xml:space="preserve">4. General Cloud Design Principles</w:t>
      </w:r>
    </w:p>
    <w:p>
      <w:pPr>
        <w:pStyle w:val="ListParagraph"/>
        <w:numPr>
          <w:ilvl w:val="0"/>
          <w:numId w:val="2"/>
        </w:numPr>
        <w:spacing w:before="60" w:after="60"/>
      </w:pPr>
      <w:r>
        <w:rPr>
          <w:rFonts w:ascii="Arial" w:cs="Arial" w:eastAsia="Arial" w:hAnsi="Arial"/>
          <w:b/>
          <w:bCs/>
          <w:color w:val="1A1A2E"/>
          <w:sz w:val="22"/>
          <w:szCs w:val="22"/>
        </w:rPr>
        <w:t xml:space="preserve">Stop guessing capacity</w:t>
      </w:r>
      <w:r>
        <w:rPr>
          <w:rFonts w:ascii="Arial" w:cs="Arial" w:eastAsia="Arial" w:hAnsi="Arial"/>
          <w:color w:val="1A1A2E"/>
          <w:sz w:val="22"/>
          <w:szCs w:val="22"/>
        </w:rPr>
        <w:t xml:space="preserve"> — Use auto-scaling (Cluster Autoscaler/Karpenter + HPA) to match resource allocation to actual demand.</w:t>
      </w:r>
    </w:p>
    <w:p>
      <w:pPr>
        <w:pStyle w:val="ListParagraph"/>
        <w:numPr>
          <w:ilvl w:val="0"/>
          <w:numId w:val="2"/>
        </w:numPr>
        <w:spacing w:before="60" w:after="60"/>
      </w:pPr>
      <w:r>
        <w:rPr>
          <w:rFonts w:ascii="Arial" w:cs="Arial" w:eastAsia="Arial" w:hAnsi="Arial"/>
          <w:b/>
          <w:bCs/>
          <w:color w:val="1A1A2E"/>
          <w:sz w:val="22"/>
          <w:szCs w:val="22"/>
        </w:rPr>
        <w:t xml:space="preserve">Test systems at production scale</w:t>
      </w:r>
      <w:r>
        <w:rPr>
          <w:rFonts w:ascii="Arial" w:cs="Arial" w:eastAsia="Arial" w:hAnsi="Arial"/>
          <w:color w:val="1A1A2E"/>
          <w:sz w:val="22"/>
          <w:szCs w:val="22"/>
        </w:rPr>
        <w:t xml:space="preserve"> — Replicate load conditions in staging before deploying.</w:t>
      </w:r>
    </w:p>
    <w:p>
      <w:pPr>
        <w:pStyle w:val="ListParagraph"/>
        <w:numPr>
          <w:ilvl w:val="0"/>
          <w:numId w:val="2"/>
        </w:numPr>
        <w:spacing w:before="60" w:after="60"/>
      </w:pPr>
      <w:r>
        <w:rPr>
          <w:rFonts w:ascii="Arial" w:cs="Arial" w:eastAsia="Arial" w:hAnsi="Arial"/>
          <w:b/>
          <w:bCs/>
          <w:color w:val="1A1A2E"/>
          <w:sz w:val="22"/>
          <w:szCs w:val="22"/>
        </w:rPr>
        <w:t xml:space="preserve">Lower risk with automation</w:t>
      </w:r>
      <w:r>
        <w:rPr>
          <w:rFonts w:ascii="Arial" w:cs="Arial" w:eastAsia="Arial" w:hAnsi="Arial"/>
          <w:color w:val="1A1A2E"/>
          <w:sz w:val="22"/>
          <w:szCs w:val="22"/>
        </w:rPr>
        <w:t xml:space="preserve"> — CI/CD pipelines, infrastructure as code, and automated rollbacks reduce human error.</w:t>
      </w:r>
    </w:p>
    <w:p>
      <w:pPr>
        <w:pStyle w:val="ListParagraph"/>
        <w:numPr>
          <w:ilvl w:val="0"/>
          <w:numId w:val="2"/>
        </w:numPr>
        <w:spacing w:before="60" w:after="60"/>
      </w:pPr>
      <w:r>
        <w:rPr>
          <w:rFonts w:ascii="Arial" w:cs="Arial" w:eastAsia="Arial" w:hAnsi="Arial"/>
          <w:b/>
          <w:bCs/>
          <w:color w:val="1A1A2E"/>
          <w:sz w:val="22"/>
          <w:szCs w:val="22"/>
        </w:rPr>
        <w:t xml:space="preserve">Design for failure</w:t>
      </w:r>
      <w:r>
        <w:rPr>
          <w:rFonts w:ascii="Arial" w:cs="Arial" w:eastAsia="Arial" w:hAnsi="Arial"/>
          <w:color w:val="1A1A2E"/>
          <w:sz w:val="22"/>
          <w:szCs w:val="22"/>
        </w:rPr>
        <w:t xml:space="preserve"> — Assume any component can fail at any time. Multi-AZ deployments, health checks, and circuit breakers ensure continuity.</w:t>
      </w:r>
    </w:p>
    <w:p>
      <w:pPr>
        <w:spacing w:before="80" w:after="0"/>
      </w:pPr>
      <w:r>
        <w:rPr>
          <w:rFonts w:ascii="Arial" w:cs="Arial" w:eastAsia="Arial" w:hAnsi="Arial"/>
          <w:color w:val="1A1A2E"/>
          <w:sz w:val="22"/>
          <w:szCs w:val="22"/>
        </w:rPr>
        <w:t xml:space="preserve"/>
      </w:r>
    </w:p>
    <w:p>
      <w:pPr>
        <w:pStyle w:val="Heading1"/>
        <w:spacing w:before="400" w:after="120"/>
      </w:pPr>
      <w:r>
        <w:rPr>
          <w:rFonts w:ascii="Arial" w:cs="Arial" w:eastAsia="Arial" w:hAnsi="Arial"/>
          <w:b/>
          <w:bCs/>
          <w:color w:val="2E5FA3"/>
          <w:sz w:val="32"/>
          <w:szCs w:val="32"/>
        </w:rPr>
        <w:t xml:space="preserve">5. Recommended Build Order (Walking Skeleton)</w:t>
      </w:r>
    </w:p>
    <w:p>
      <w:pPr>
        <w:spacing w:before="60" w:after="60"/>
      </w:pPr>
      <w:r>
        <w:rPr>
          <w:rFonts w:ascii="Arial" w:cs="Arial" w:eastAsia="Arial" w:hAnsi="Arial"/>
          <w:color w:val="1A1A2E"/>
          <w:sz w:val="22"/>
          <w:szCs w:val="22"/>
        </w:rPr>
        <w:t xml:space="preserve">Building in the following order ensures the app is demonstrable at every stage rather than having nothing runnable until the end.</w:t>
      </w:r>
    </w:p>
    <w:p>
      <w:pPr>
        <w:spacing w:before="80" w:after="0"/>
      </w:pPr>
      <w:r>
        <w:rPr>
          <w:rFonts w:ascii="Arial" w:cs="Arial" w:eastAsia="Arial" w:hAnsi="Arial"/>
          <w:color w:val="1A1A2E"/>
          <w:sz w:val="22"/>
          <w:szCs w:val="22"/>
        </w:rPr>
        <w:t xml:space="preserve"/>
      </w:r>
    </w:p>
    <w:p>
      <w:pPr>
        <w:pStyle w:val="ListParagraph"/>
        <w:numPr>
          <w:ilvl w:val="0"/>
          <w:numId w:val="2"/>
        </w:numPr>
        <w:spacing w:before="80" w:after="60"/>
      </w:pPr>
      <w:r>
        <w:rPr>
          <w:rFonts w:ascii="Arial" w:cs="Arial" w:eastAsia="Arial" w:hAnsi="Arial"/>
          <w:b/>
          <w:bCs/>
          <w:color w:val="1A1A2E"/>
          <w:sz w:val="22"/>
          <w:szCs w:val="22"/>
        </w:rPr>
        <w:t xml:space="preserve">Phase 1 — Auth</w:t>
      </w:r>
      <w:r>
        <w:rPr>
          <w:rFonts w:ascii="Arial" w:cs="Arial" w:eastAsia="Arial" w:hAnsi="Arial"/>
          <w:color w:val="1A1A2E"/>
          <w:sz w:val="22"/>
          <w:szCs w:val="22"/>
        </w:rPr>
        <w:t xml:space="preserve">: Cognito + Identity-Service + login/register UI.</w:t>
      </w:r>
    </w:p>
    <w:p>
      <w:pPr>
        <w:pStyle w:val="ListParagraph"/>
        <w:numPr>
          <w:ilvl w:val="0"/>
          <w:numId w:val="2"/>
        </w:numPr>
        <w:spacing w:before="80" w:after="60"/>
      </w:pPr>
      <w:r>
        <w:rPr>
          <w:rFonts w:ascii="Arial" w:cs="Arial" w:eastAsia="Arial" w:hAnsi="Arial"/>
          <w:b/>
          <w:bCs/>
          <w:color w:val="1A1A2E"/>
          <w:sz w:val="22"/>
          <w:szCs w:val="22"/>
        </w:rPr>
        <w:t xml:space="preserve">Phase 2 — Repo Creation</w:t>
      </w:r>
      <w:r>
        <w:rPr>
          <w:rFonts w:ascii="Arial" w:cs="Arial" w:eastAsia="Arial" w:hAnsi="Arial"/>
          <w:color w:val="1A1A2E"/>
          <w:sz w:val="22"/>
          <w:szCs w:val="22"/>
        </w:rPr>
        <w:t xml:space="preserve">: Workflow-Service POST /v1/repos/create + Table 2 init + dashboard UI (including empty state).</w:t>
      </w:r>
    </w:p>
    <w:p>
      <w:pPr>
        <w:pStyle w:val="ListParagraph"/>
        <w:numPr>
          <w:ilvl w:val="0"/>
          <w:numId w:val="2"/>
        </w:numPr>
        <w:spacing w:before="80" w:after="60"/>
      </w:pPr>
      <w:r>
        <w:rPr>
          <w:rFonts w:ascii="Arial" w:cs="Arial" w:eastAsia="Arial" w:hAnsi="Arial"/>
          <w:b/>
          <w:bCs/>
          <w:color w:val="1A1A2E"/>
          <w:sz w:val="22"/>
          <w:szCs w:val="22"/>
        </w:rPr>
        <w:t xml:space="preserve">Phase 3 — File Upload + View Mode</w:t>
      </w:r>
      <w:r>
        <w:rPr>
          <w:rFonts w:ascii="Arial" w:cs="Arial" w:eastAsia="Arial" w:hAnsi="Arial"/>
          <w:color w:val="1A1A2E"/>
          <w:sz w:val="22"/>
          <w:szCs w:val="22"/>
        </w:rPr>
        <w:t xml:space="preserve">: Repo-Service + S3 + CloudFront signed URLs + explorer UI (including binary file handling).</w:t>
      </w:r>
    </w:p>
    <w:p>
      <w:pPr>
        <w:pStyle w:val="ListParagraph"/>
        <w:numPr>
          <w:ilvl w:val="0"/>
          <w:numId w:val="2"/>
        </w:numPr>
        <w:spacing w:before="80" w:after="60"/>
      </w:pPr>
      <w:r>
        <w:rPr>
          <w:rFonts w:ascii="Arial" w:cs="Arial" w:eastAsia="Arial" w:hAnsi="Arial"/>
          <w:b/>
          <w:bCs/>
          <w:color w:val="1A1A2E"/>
          <w:sz w:val="22"/>
          <w:szCs w:val="22"/>
        </w:rPr>
        <w:t xml:space="preserve">Phase 4 — Edit Mode + Drafts</w:t>
      </w:r>
      <w:r>
        <w:rPr>
          <w:rFonts w:ascii="Arial" w:cs="Arial" w:eastAsia="Arial" w:hAnsi="Arial"/>
          <w:color w:val="1A1A2E"/>
          <w:sz w:val="22"/>
          <w:szCs w:val="22"/>
        </w:rPr>
        <w:t xml:space="preserve">: EFS integration + save endpoint + online IDE UI.</w:t>
      </w:r>
    </w:p>
    <w:p>
      <w:pPr>
        <w:pStyle w:val="ListParagraph"/>
        <w:numPr>
          <w:ilvl w:val="0"/>
          <w:numId w:val="2"/>
        </w:numPr>
        <w:spacing w:before="80" w:after="60"/>
      </w:pPr>
      <w:r>
        <w:rPr>
          <w:rFonts w:ascii="Arial" w:cs="Arial" w:eastAsia="Arial" w:hAnsi="Arial"/>
          <w:b/>
          <w:bCs/>
          <w:color w:val="1A1A2E"/>
          <w:sz w:val="22"/>
          <w:szCs w:val="22"/>
        </w:rPr>
        <w:t xml:space="preserve">Phase 5 — Commit + Approval Flow</w:t>
      </w:r>
      <w:r>
        <w:rPr>
          <w:rFonts w:ascii="Arial" w:cs="Arial" w:eastAsia="Arial" w:hAnsi="Arial"/>
          <w:color w:val="1A1A2E"/>
          <w:sz w:val="22"/>
          <w:szCs w:val="22"/>
        </w:rPr>
        <w:t xml:space="preserve">: Full Workflow-Service state machine with atomic transactions, SQS cleanup, and commit status panel for authors.</w:t>
      </w:r>
    </w:p>
    <w:p>
      <w:pPr>
        <w:pStyle w:val="ListParagraph"/>
        <w:numPr>
          <w:ilvl w:val="0"/>
          <w:numId w:val="2"/>
        </w:numPr>
        <w:spacing w:before="80" w:after="60"/>
      </w:pPr>
      <w:r>
        <w:rPr>
          <w:rFonts w:ascii="Arial" w:cs="Arial" w:eastAsia="Arial" w:hAnsi="Arial"/>
          <w:b/>
          <w:bCs/>
          <w:color w:val="1A1A2E"/>
          <w:sz w:val="22"/>
          <w:szCs w:val="22"/>
        </w:rPr>
        <w:t xml:space="preserve">Phase 6 — Rejection + Notifications</w:t>
      </w:r>
      <w:r>
        <w:rPr>
          <w:rFonts w:ascii="Arial" w:cs="Arial" w:eastAsia="Arial" w:hAnsi="Arial"/>
          <w:color w:val="1A1A2E"/>
          <w:sz w:val="22"/>
          <w:szCs w:val="22"/>
        </w:rPr>
        <w:t xml:space="preserve">: Reviewer comment field + SES email notifications for approval and rejection.</w:t>
      </w:r>
    </w:p>
    <w:p>
      <w:pPr>
        <w:pStyle w:val="ListParagraph"/>
        <w:numPr>
          <w:ilvl w:val="0"/>
          <w:numId w:val="2"/>
        </w:numPr>
        <w:spacing w:before="80" w:after="60"/>
      </w:pPr>
      <w:r>
        <w:rPr>
          <w:rFonts w:ascii="Arial" w:cs="Arial" w:eastAsia="Arial" w:hAnsi="Arial"/>
          <w:b/>
          <w:bCs/>
          <w:color w:val="1A1A2E"/>
          <w:sz w:val="22"/>
          <w:szCs w:val="22"/>
        </w:rPr>
        <w:t xml:space="preserve">Phase 7 — Invites + Email</w:t>
      </w:r>
      <w:r>
        <w:rPr>
          <w:rFonts w:ascii="Arial" w:cs="Arial" w:eastAsia="Arial" w:hAnsi="Arial"/>
          <w:color w:val="1A1A2E"/>
          <w:sz w:val="22"/>
          <w:szCs w:val="22"/>
        </w:rPr>
        <w:t xml:space="preserve">: Invite token generation with TTL + SES delivery + accept/expiry flow.</w:t>
      </w:r>
    </w:p>
    <w:p>
      <w:pPr>
        <w:pStyle w:val="ListParagraph"/>
        <w:numPr>
          <w:ilvl w:val="0"/>
          <w:numId w:val="2"/>
        </w:numPr>
        <w:spacing w:before="80" w:after="60"/>
      </w:pPr>
      <w:r>
        <w:rPr>
          <w:rFonts w:ascii="Arial" w:cs="Arial" w:eastAsia="Arial" w:hAnsi="Arial"/>
          <w:b/>
          <w:bCs/>
          <w:color w:val="1A1A2E"/>
          <w:sz w:val="22"/>
          <w:szCs w:val="22"/>
        </w:rPr>
        <w:t xml:space="preserve">Phase 8 — Repo Deletion</w:t>
      </w:r>
      <w:r>
        <w:rPr>
          <w:rFonts w:ascii="Arial" w:cs="Arial" w:eastAsia="Arial" w:hAnsi="Arial"/>
          <w:color w:val="1A1A2E"/>
          <w:sz w:val="22"/>
          <w:szCs w:val="22"/>
        </w:rPr>
        <w:t xml:space="preserve">: Admin DELETE /v1/repos/{id} with cascading cleanup across all tables and EFS.</w:t>
      </w:r>
    </w:p>
    <w:p>
      <w:pPr>
        <w:pStyle w:val="ListParagraph"/>
        <w:numPr>
          <w:ilvl w:val="0"/>
          <w:numId w:val="2"/>
        </w:numPr>
        <w:spacing w:before="80" w:after="60"/>
      </w:pPr>
      <w:r>
        <w:rPr>
          <w:rFonts w:ascii="Arial" w:cs="Arial" w:eastAsia="Arial" w:hAnsi="Arial"/>
          <w:b/>
          <w:bCs/>
          <w:color w:val="1A1A2E"/>
          <w:sz w:val="22"/>
          <w:szCs w:val="22"/>
        </w:rPr>
        <w:t xml:space="preserve">Phase 9 — Infrastructure Hardening</w:t>
      </w:r>
      <w:r>
        <w:rPr>
          <w:rFonts w:ascii="Arial" w:cs="Arial" w:eastAsia="Arial" w:hAnsi="Arial"/>
          <w:color w:val="1A1A2E"/>
          <w:sz w:val="22"/>
          <w:szCs w:val="22"/>
        </w:rPr>
        <w:t xml:space="preserve">: EKS (with ALB Ingress, HPA, Karpenter), Route53, DNSSEC, HTTPS via ACM, CloudFront key rotation.</w:t>
      </w:r>
    </w:p>
    <w:p>
      <w:pPr>
        <w:spacing w:before="80" w:after="0"/>
      </w:pPr>
      <w:r>
        <w:rPr>
          <w:rFonts w:ascii="Arial" w:cs="Arial" w:eastAsia="Arial" w:hAnsi="Arial"/>
          <w:color w:val="1A1A2E"/>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36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2E5FA3"/>
      <w:sz w:val="32"/>
      <w:szCs w:val="32"/>
    </w:rPr>
  </w:style>
  <w:style w:type="paragraph" w:styleId="Heading2">
    <w:name w:val="Heading 2"/>
    <w:basedOn w:val="Normal"/>
    <w:next w:val="Normal"/>
    <w:qFormat/>
    <w:pPr>
      <w:spacing w:before="260" w:after="8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2026-03-20T12:12:09.276Z</dcterms:created>
  <dcterms:modified xsi:type="dcterms:W3CDTF">2026-03-20T12:12:09.277Z</dcterms:modified>
</cp:coreProperties>
</file>

<file path=docProps/custom.xml><?xml version="1.0" encoding="utf-8"?>
<Properties xmlns="http://schemas.openxmlformats.org/officeDocument/2006/custom-properties" xmlns:vt="http://schemas.openxmlformats.org/officeDocument/2006/docPropsVTypes"/>
</file>