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2E5FA3"/>
          <w:sz w:val="52"/>
          <w:szCs w:val="52"/>
        </w:rPr>
        <w:t xml:space="preserve">SAP Project Definition</w:t>
      </w:r>
    </w:p>
    <w:p>
      <w:pPr>
        <w:spacing w:before="0" w:after="600"/>
        <w:jc w:val="center"/>
      </w:pPr>
      <w:r>
        <w:rPr>
          <w:rFonts w:ascii="Arial" w:cs="Arial" w:eastAsia="Arial" w:hAnsi="Arial"/>
          <w:i/>
          <w:iCs/>
          <w:color w:val="555555"/>
          <w:sz w:val="26"/>
          <w:szCs w:val="26"/>
        </w:rPr>
        <w:t xml:space="preserve">Cloud-Native Version Control Platform</w:t>
      </w:r>
    </w:p>
    <w:p>
      <w:pPr>
        <w:pStyle w:val="Heading1"/>
        <w:spacing w:before="420" w:after="120"/>
      </w:pPr>
      <w:r>
        <w:rPr>
          <w:rFonts w:ascii="Arial" w:cs="Arial" w:eastAsia="Arial" w:hAnsi="Arial"/>
          <w:b/>
          <w:bCs/>
          <w:color w:val="2E5FA3"/>
          <w:sz w:val="32"/>
          <w:szCs w:val="32"/>
        </w:rPr>
        <w:t xml:space="preserve">1. Project Idea and Functionalities</w:t>
      </w:r>
    </w:p>
    <w:p>
      <w:pPr>
        <w:spacing w:before="80" w:after="0"/>
      </w:pPr>
      <w:r>
        <w:rPr>
          <w:rFonts w:ascii="Arial" w:cs="Arial" w:eastAsia="Arial" w:hAnsi="Arial"/>
          <w:color w:val="1A1A2E"/>
          <w:sz w:val="22"/>
          <w:szCs w:val="22"/>
        </w:rPr>
        <w:t xml:space="preserve"/>
      </w:r>
    </w:p>
    <w:p>
      <w:pPr>
        <w:spacing w:before="60" w:after="60"/>
      </w:pPr>
      <w:r>
        <w:rPr>
          <w:rFonts w:ascii="Arial" w:cs="Arial" w:eastAsia="Arial" w:hAnsi="Arial"/>
          <w:color w:val="1A1A2E"/>
          <w:sz w:val="22"/>
          <w:szCs w:val="22"/>
        </w:rPr>
        <w:t xml:space="preserve">This platform is a cloud-native, web-based version control system. Users can manage repositories of files, collaborate with others through defined roles, and maintain a full commit history — all through a browser. The following section describes the complete user experience for every role, including all edge cases, so that developers can form an accurate mental model of the UI before writing a single line of code.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Authentication</w:t>
      </w:r>
    </w:p>
    <w:p>
      <w:pPr>
        <w:pStyle w:val="ListParagraph"/>
        <w:numPr>
          <w:ilvl w:val="0"/>
          <w:numId w:val="2"/>
        </w:numPr>
        <w:spacing w:before="60" w:after="60"/>
      </w:pPr>
      <w:r>
        <w:rPr>
          <w:rFonts w:ascii="Arial" w:cs="Arial" w:eastAsia="Arial" w:hAnsi="Arial"/>
          <w:b/>
          <w:bCs/>
          <w:color w:val="1A1A2E"/>
          <w:sz w:val="22"/>
          <w:szCs w:val="22"/>
        </w:rPr>
        <w:t xml:space="preserve">AWS Cognito</w:t>
      </w:r>
      <w:r>
        <w:rPr>
          <w:rFonts w:ascii="Arial" w:cs="Arial" w:eastAsia="Arial" w:hAnsi="Arial"/>
          <w:color w:val="1A1A2E"/>
          <w:sz w:val="22"/>
          <w:szCs w:val="22"/>
        </w:rPr>
        <w:t xml:space="preserve"> will be used with the following fields: user_id (sub), email, password for user authentication. A custom login/register page will be created via NextJS; the AWS Cognito default page will not be used.</w:t>
      </w:r>
    </w:p>
    <w:p>
      <w:pPr>
        <w:pStyle w:val="ListParagraph"/>
        <w:numPr>
          <w:ilvl w:val="0"/>
          <w:numId w:val="2"/>
        </w:numPr>
        <w:spacing w:before="60" w:after="60"/>
      </w:pPr>
      <w:r>
        <w:rPr>
          <w:rFonts w:ascii="Arial" w:cs="Arial" w:eastAsia="Arial" w:hAnsi="Arial"/>
          <w:color w:val="1A1A2E"/>
          <w:sz w:val="22"/>
          <w:szCs w:val="22"/>
        </w:rPr>
        <w:t xml:space="preserve">On first registration, the user lands on an empty dashboard with an onboarding prompt explaining how to create or join their first repository.</w:t>
      </w:r>
    </w:p>
    <w:p>
      <w:pPr>
        <w:pStyle w:val="ListParagraph"/>
        <w:numPr>
          <w:ilvl w:val="0"/>
          <w:numId w:val="2"/>
        </w:numPr>
        <w:spacing w:before="60" w:after="60"/>
      </w:pPr>
      <w:r>
        <w:rPr>
          <w:rFonts w:ascii="Arial" w:cs="Arial" w:eastAsia="Arial" w:hAnsi="Arial"/>
          <w:color w:val="1A1A2E"/>
          <w:sz w:val="22"/>
          <w:szCs w:val="22"/>
        </w:rPr>
        <w:t xml:space="preserve">On subsequent logins, the dashboard lists all repositories the user has access to, grouped by ownership and role.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Role Overview</w:t>
      </w:r>
    </w:p>
    <w:p>
      <w:pPr>
        <w:spacing w:before="60" w:after="60"/>
      </w:pPr>
      <w:r>
        <w:rPr>
          <w:rFonts w:ascii="Arial" w:cs="Arial" w:eastAsia="Arial" w:hAnsi="Arial"/>
          <w:color w:val="1A1A2E"/>
          <w:sz w:val="22"/>
          <w:szCs w:val="22"/>
        </w:rPr>
        <w:t xml:space="preserve">Every user in a repository is assigned exactly one of four roles. Each role has a dedicated set of pages in the frontend — no role shares a page with another, and no role sees UI elements that belong to a different role.</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Reader</w:t>
      </w:r>
    </w:p>
    <w:p>
      <w:pPr>
        <w:spacing w:before="60" w:after="60"/>
      </w:pPr>
      <w:r>
        <w:rPr>
          <w:rFonts w:ascii="Arial" w:cs="Arial" w:eastAsia="Arial" w:hAnsi="Arial"/>
          <w:color w:val="1A1A2E"/>
          <w:sz w:val="22"/>
          <w:szCs w:val="22"/>
        </w:rPr>
        <w:t xml:space="preserve">The reader role is intentionally minimal. A reader can browse the repository but cannot affect it in any way.</w:t>
      </w:r>
    </w:p>
    <w:p>
      <w:pPr>
        <w:spacing w:before="80" w:after="0"/>
      </w:pPr>
      <w:r>
        <w:rPr>
          <w:rFonts w:ascii="Arial" w:cs="Arial" w:eastAsia="Arial" w:hAnsi="Arial"/>
          <w:color w:val="1A1A2E"/>
          <w:sz w:val="22"/>
          <w:szCs w:val="22"/>
        </w:rPr>
        <w:t xml:space="preserve"/>
      </w:r>
    </w:p>
    <w:p>
      <w:pPr>
        <w:pStyle w:val="ListParagraph"/>
        <w:numPr>
          <w:ilvl w:val="0"/>
          <w:numId w:val="2"/>
        </w:numPr>
        <w:spacing w:before="60" w:after="60"/>
      </w:pPr>
      <w:r>
        <w:rPr>
          <w:rFonts w:ascii="Arial" w:cs="Arial" w:eastAsia="Arial" w:hAnsi="Arial"/>
          <w:b/>
          <w:bCs/>
          <w:color w:val="1A1A2E"/>
          <w:sz w:val="22"/>
          <w:szCs w:val="22"/>
        </w:rPr>
        <w:t xml:space="preserve">Repository explorer:</w:t>
      </w:r>
      <w:r>
        <w:rPr>
          <w:rFonts w:ascii="Arial" w:cs="Arial" w:eastAsia="Arial" w:hAnsi="Arial"/>
          <w:color w:val="1A1A2E"/>
          <w:sz w:val="22"/>
          <w:szCs w:val="22"/>
        </w:rPr>
        <w:t xml:space="preserve"> The reader sees the current file and folder structure of the repository, reflecting the latest approved commit. They can navigate into folders, open files, and read their contents in a read-only viewer.</w:t>
      </w:r>
    </w:p>
    <w:p>
      <w:pPr>
        <w:pStyle w:val="ListParagraph"/>
        <w:numPr>
          <w:ilvl w:val="0"/>
          <w:numId w:val="2"/>
        </w:numPr>
        <w:spacing w:before="60" w:after="60"/>
      </w:pPr>
      <w:r>
        <w:rPr>
          <w:rFonts w:ascii="Arial" w:cs="Arial" w:eastAsia="Arial" w:hAnsi="Arial"/>
          <w:b/>
          <w:bCs/>
          <w:color w:val="1A1A2E"/>
          <w:sz w:val="22"/>
          <w:szCs w:val="22"/>
        </w:rPr>
        <w:t xml:space="preserve">File download:</w:t>
      </w:r>
      <w:r>
        <w:rPr>
          <w:rFonts w:ascii="Arial" w:cs="Arial" w:eastAsia="Arial" w:hAnsi="Arial"/>
          <w:color w:val="1A1A2E"/>
          <w:sz w:val="22"/>
          <w:szCs w:val="22"/>
        </w:rPr>
        <w:t xml:space="preserve"> Each file has a download button. The reader can also download the entire repository as a ZIP archive. The archive endpoint returns a task_id immediately and the UI shows a progress indicator while the ZIP is being assembled in the background, then presents a download link on completion.</w:t>
      </w:r>
    </w:p>
    <w:p>
      <w:pPr>
        <w:pStyle w:val="ListParagraph"/>
        <w:numPr>
          <w:ilvl w:val="0"/>
          <w:numId w:val="2"/>
        </w:numPr>
        <w:spacing w:before="60" w:after="60"/>
      </w:pPr>
      <w:r>
        <w:rPr>
          <w:rFonts w:ascii="Arial" w:cs="Arial" w:eastAsia="Arial" w:hAnsi="Arial"/>
          <w:b/>
          <w:bCs/>
          <w:color w:val="1A1A2E"/>
          <w:sz w:val="22"/>
          <w:szCs w:val="22"/>
        </w:rPr>
        <w:t xml:space="preserve">Empty state:</w:t>
      </w:r>
      <w:r>
        <w:rPr>
          <w:rFonts w:ascii="Arial" w:cs="Arial" w:eastAsia="Arial" w:hAnsi="Arial"/>
          <w:color w:val="1A1A2E"/>
          <w:sz w:val="22"/>
          <w:szCs w:val="22"/>
        </w:rPr>
        <w:t xml:space="preserve"> If the repository has no committed files yet (no approved commits exist), the reader sees a placeholder message such as “This repository has no files yet” rather than a blank page.</w:t>
      </w:r>
    </w:p>
    <w:p>
      <w:pPr>
        <w:pStyle w:val="ListParagraph"/>
        <w:numPr>
          <w:ilvl w:val="0"/>
          <w:numId w:val="2"/>
        </w:numPr>
        <w:spacing w:before="60" w:after="60"/>
      </w:pPr>
      <w:r>
        <w:rPr>
          <w:rFonts w:ascii="Arial" w:cs="Arial" w:eastAsia="Arial" w:hAnsi="Arial"/>
          <w:b/>
          <w:bCs/>
          <w:color w:val="1A1A2E"/>
          <w:sz w:val="22"/>
          <w:szCs w:val="22"/>
        </w:rPr>
        <w:t xml:space="preserve">No edit, no commit, no history:</w:t>
      </w:r>
      <w:r>
        <w:rPr>
          <w:rFonts w:ascii="Arial" w:cs="Arial" w:eastAsia="Arial" w:hAnsi="Arial"/>
          <w:color w:val="1A1A2E"/>
          <w:sz w:val="22"/>
          <w:szCs w:val="22"/>
        </w:rPr>
        <w:t xml:space="preserve"> Readers do not see an edit button, a commit history panel, or any reviewer controls. Those UI elements are not rendered for this role.</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Author</w:t>
      </w:r>
    </w:p>
    <w:p>
      <w:pPr>
        <w:spacing w:before="60" w:after="60"/>
      </w:pPr>
      <w:r>
        <w:rPr>
          <w:rFonts w:ascii="Arial" w:cs="Arial" w:eastAsia="Arial" w:hAnsi="Arial"/>
          <w:color w:val="1A1A2E"/>
          <w:sz w:val="22"/>
          <w:szCs w:val="22"/>
        </w:rPr>
        <w:t xml:space="preserve">The author role is the most complex in the application. Authors move through several distinct states — browsing, editing, committing, and waiting for review — and the UI must clearly reflect which state the author is in at all times.</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View Mode</w:t>
      </w:r>
    </w:p>
    <w:p>
      <w:pPr>
        <w:spacing w:before="60" w:after="60"/>
      </w:pPr>
      <w:r>
        <w:rPr>
          <w:rFonts w:ascii="Arial" w:cs="Arial" w:eastAsia="Arial" w:hAnsi="Arial"/>
          <w:color w:val="1A1A2E"/>
          <w:sz w:val="22"/>
          <w:szCs w:val="22"/>
        </w:rPr>
        <w:t xml:space="preserve">When an author opens a repository, they land in view mode by default.</w:t>
      </w:r>
    </w:p>
    <w:p>
      <w:pPr>
        <w:pStyle w:val="ListParagraph"/>
        <w:numPr>
          <w:ilvl w:val="0"/>
          <w:numId w:val="2"/>
        </w:numPr>
        <w:spacing w:before="60" w:after="60"/>
      </w:pPr>
      <w:r>
        <w:rPr>
          <w:rFonts w:ascii="Arial" w:cs="Arial" w:eastAsia="Arial" w:hAnsi="Arial"/>
          <w:b/>
          <w:bCs/>
          <w:color w:val="1A1A2E"/>
          <w:sz w:val="22"/>
          <w:szCs w:val="22"/>
        </w:rPr>
        <w:t xml:space="preserve">What they see:</w:t>
      </w:r>
      <w:r>
        <w:rPr>
          <w:rFonts w:ascii="Arial" w:cs="Arial" w:eastAsia="Arial" w:hAnsi="Arial"/>
          <w:color w:val="1A1A2E"/>
          <w:sz w:val="22"/>
          <w:szCs w:val="22"/>
        </w:rPr>
        <w:t xml:space="preserve"> The current file and folder structure of the repository at the latest approved commit head, fetched from RDS and S3. A read-only file viewer opens when they click a file.</w:t>
      </w:r>
    </w:p>
    <w:p>
      <w:pPr>
        <w:pStyle w:val="ListParagraph"/>
        <w:numPr>
          <w:ilvl w:val="0"/>
          <w:numId w:val="2"/>
        </w:numPr>
        <w:spacing w:before="60" w:after="60"/>
      </w:pPr>
      <w:r>
        <w:rPr>
          <w:rFonts w:ascii="Arial" w:cs="Arial" w:eastAsia="Arial" w:hAnsi="Arial"/>
          <w:b/>
          <w:bCs/>
          <w:color w:val="1A1A2E"/>
          <w:sz w:val="22"/>
          <w:szCs w:val="22"/>
        </w:rPr>
        <w:t xml:space="preserve">Commit history:</w:t>
      </w:r>
      <w:r>
        <w:rPr>
          <w:rFonts w:ascii="Arial" w:cs="Arial" w:eastAsia="Arial" w:hAnsi="Arial"/>
          <w:color w:val="1A1A2E"/>
          <w:sz w:val="22"/>
          <w:szCs w:val="22"/>
        </w:rPr>
        <w:t xml:space="preserve"> A history panel is available showing all approved and rejected commits in chronological order. Each entry shows the commit hash, timestamp, and status. Rejected commits also display the reviewer’s comment so the author can learn from past decisions.</w:t>
      </w:r>
    </w:p>
    <w:p>
      <w:pPr>
        <w:pStyle w:val="ListParagraph"/>
        <w:numPr>
          <w:ilvl w:val="0"/>
          <w:numId w:val="2"/>
        </w:numPr>
        <w:spacing w:before="60" w:after="60"/>
      </w:pPr>
      <w:r>
        <w:rPr>
          <w:rFonts w:ascii="Arial" w:cs="Arial" w:eastAsia="Arial" w:hAnsi="Arial"/>
          <w:b/>
          <w:bCs/>
          <w:color w:val="1A1A2E"/>
          <w:sz w:val="22"/>
          <w:szCs w:val="22"/>
        </w:rPr>
        <w:t xml:space="preserve">Switching to edit mode:</w:t>
      </w:r>
      <w:r>
        <w:rPr>
          <w:rFonts w:ascii="Arial" w:cs="Arial" w:eastAsia="Arial" w:hAnsi="Arial"/>
          <w:color w:val="1A1A2E"/>
          <w:sz w:val="22"/>
          <w:szCs w:val="22"/>
        </w:rPr>
        <w:t xml:space="preserve"> A clearly visible “Enter Edit Mode” button is present. Clicking it triggers the overlay fetch described below.</w:t>
      </w:r>
    </w:p>
    <w:p>
      <w:pPr>
        <w:pStyle w:val="ListParagraph"/>
        <w:numPr>
          <w:ilvl w:val="0"/>
          <w:numId w:val="2"/>
        </w:numPr>
        <w:spacing w:before="60" w:after="60"/>
      </w:pPr>
      <w:r>
        <w:rPr>
          <w:rFonts w:ascii="Arial" w:cs="Arial" w:eastAsia="Arial" w:hAnsi="Arial"/>
          <w:b/>
          <w:bCs/>
          <w:color w:val="1A1A2E"/>
          <w:sz w:val="22"/>
          <w:szCs w:val="22"/>
        </w:rPr>
        <w:t xml:space="preserve">Empty state:</w:t>
      </w:r>
      <w:r>
        <w:rPr>
          <w:rFonts w:ascii="Arial" w:cs="Arial" w:eastAsia="Arial" w:hAnsi="Arial"/>
          <w:color w:val="1A1A2E"/>
          <w:sz w:val="22"/>
          <w:szCs w:val="22"/>
        </w:rPr>
        <w:t xml:space="preserve"> If the repository has no committed files yet, the author sees a placeholder with a prompt to enter edit mode and add the first files.</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Edit Mode — Normal Flow</w:t>
      </w:r>
    </w:p>
    <w:p>
      <w:pPr>
        <w:spacing w:before="60" w:after="60"/>
      </w:pPr>
      <w:r>
        <w:rPr>
          <w:rFonts w:ascii="Arial" w:cs="Arial" w:eastAsia="Arial" w:hAnsi="Arial"/>
          <w:color w:val="1A1A2E"/>
          <w:sz w:val="22"/>
          <w:szCs w:val="22"/>
        </w:rPr>
        <w:t xml:space="preserve">Edit mode is where the author creates, modifies, and deletes files before committing their changes.</w:t>
      </w:r>
    </w:p>
    <w:p>
      <w:pPr>
        <w:pStyle w:val="ListParagraph"/>
        <w:numPr>
          <w:ilvl w:val="0"/>
          <w:numId w:val="2"/>
        </w:numPr>
        <w:spacing w:before="60" w:after="60"/>
      </w:pPr>
      <w:r>
        <w:rPr>
          <w:rFonts w:ascii="Arial" w:cs="Arial" w:eastAsia="Arial" w:hAnsi="Arial"/>
          <w:b/>
          <w:bCs/>
          <w:color w:val="1A1A2E"/>
          <w:sz w:val="22"/>
          <w:szCs w:val="22"/>
        </w:rPr>
        <w:t xml:space="preserve">Overlay loading:</w:t>
      </w:r>
      <w:r>
        <w:rPr>
          <w:rFonts w:ascii="Arial" w:cs="Arial" w:eastAsia="Arial" w:hAnsi="Arial"/>
          <w:color w:val="1A1A2E"/>
          <w:sz w:val="22"/>
          <w:szCs w:val="22"/>
        </w:rPr>
        <w:t xml:space="preserve"> When the author enters edit mode, the backend constructs a merged view of the repository. It first loads the author’s in-progress draft files from EFS (scoped to their user_id and repo_id), then fills in any remaining files from the latest committed head in RDS and S3. The result is a unified file tree where the author’s saved drafts take visual priority over committed files.</w:t>
      </w:r>
    </w:p>
    <w:p>
      <w:pPr>
        <w:pStyle w:val="ListParagraph"/>
        <w:numPr>
          <w:ilvl w:val="0"/>
          <w:numId w:val="2"/>
        </w:numPr>
        <w:spacing w:before="60" w:after="60"/>
      </w:pPr>
      <w:r>
        <w:rPr>
          <w:rFonts w:ascii="Arial" w:cs="Arial" w:eastAsia="Arial" w:hAnsi="Arial"/>
          <w:b/>
          <w:bCs/>
          <w:color w:val="1A1A2E"/>
          <w:sz w:val="22"/>
          <w:szCs w:val="22"/>
        </w:rPr>
        <w:t xml:space="preserve">Example:</w:t>
      </w:r>
      <w:r>
        <w:rPr>
          <w:rFonts w:ascii="Arial" w:cs="Arial" w:eastAsia="Arial" w:hAnsi="Arial"/>
          <w:color w:val="1A1A2E"/>
          <w:sz w:val="22"/>
          <w:szCs w:val="22"/>
        </w:rPr>
        <w:t xml:space="preserve"> The committed head contains src/a.txt, src/b.txt, and logo.png. The author previously edited src/a.txt and created src/c.txt, both saved to EFS. When they enter edit mode, the explorer shows src/a.txt (from EFS — their edited version), src/b.txt (from S3 — unchanged), src/c.txt (from EFS — new file), and logo.png (from S3 — unchanged). The author’s changes are seamlessly merged in.</w:t>
      </w:r>
    </w:p>
    <w:p>
      <w:pPr>
        <w:pStyle w:val="ListParagraph"/>
        <w:numPr>
          <w:ilvl w:val="0"/>
          <w:numId w:val="2"/>
        </w:numPr>
        <w:spacing w:before="60" w:after="60"/>
      </w:pPr>
      <w:r>
        <w:rPr>
          <w:rFonts w:ascii="Arial" w:cs="Arial" w:eastAsia="Arial" w:hAnsi="Arial"/>
          <w:b/>
          <w:bCs/>
          <w:color w:val="1A1A2E"/>
          <w:sz w:val="22"/>
          <w:szCs w:val="22"/>
        </w:rPr>
        <w:t xml:space="preserve">Online IDE:</w:t>
      </w:r>
      <w:r>
        <w:rPr>
          <w:rFonts w:ascii="Arial" w:cs="Arial" w:eastAsia="Arial" w:hAnsi="Arial"/>
          <w:color w:val="1A1A2E"/>
          <w:sz w:val="22"/>
          <w:szCs w:val="22"/>
        </w:rPr>
        <w:t xml:space="preserve"> Text files (.txt, .py, .js, etc.) open in an embedded code editor directly in the browser. The author can type, edit, and when satisfied, press “Save”. Each save writes the current file content to EFS via the drafts/save endpoint. Saving is not the same as committing — it simply persists the draft so work is not lost if the author closes the tab.</w:t>
      </w:r>
    </w:p>
    <w:p>
      <w:pPr>
        <w:pStyle w:val="ListParagraph"/>
        <w:numPr>
          <w:ilvl w:val="0"/>
          <w:numId w:val="2"/>
        </w:numPr>
        <w:spacing w:before="60" w:after="60"/>
      </w:pPr>
      <w:r>
        <w:rPr>
          <w:rFonts w:ascii="Arial" w:cs="Arial" w:eastAsia="Arial" w:hAnsi="Arial"/>
          <w:b/>
          <w:bCs/>
          <w:color w:val="1A1A2E"/>
          <w:sz w:val="22"/>
          <w:szCs w:val="22"/>
        </w:rPr>
        <w:t xml:space="preserve">Binary file upload:</w:t>
      </w:r>
      <w:r>
        <w:rPr>
          <w:rFonts w:ascii="Arial" w:cs="Arial" w:eastAsia="Arial" w:hAnsi="Arial"/>
          <w:color w:val="1A1A2E"/>
          <w:sz w:val="22"/>
          <w:szCs w:val="22"/>
        </w:rPr>
        <w:t xml:space="preserve"> For binary files (images, PDFs, etc.) the author clicks “Upload” and selects a file from their machine. The file is sent to the drafts/upload endpoint and stored in EFS. It appears in the explorer immediately with an icon indicating it is a binary file that cannot be previewed inline.</w:t>
      </w:r>
    </w:p>
    <w:p>
      <w:pPr>
        <w:pStyle w:val="ListParagraph"/>
        <w:numPr>
          <w:ilvl w:val="0"/>
          <w:numId w:val="2"/>
        </w:numPr>
        <w:spacing w:before="60" w:after="60"/>
      </w:pPr>
      <w:r>
        <w:rPr>
          <w:rFonts w:ascii="Arial" w:cs="Arial" w:eastAsia="Arial" w:hAnsi="Arial"/>
          <w:b/>
          <w:bCs/>
          <w:color w:val="1A1A2E"/>
          <w:sz w:val="22"/>
          <w:szCs w:val="22"/>
        </w:rPr>
        <w:t xml:space="preserve">Deleting files:</w:t>
      </w:r>
      <w:r>
        <w:rPr>
          <w:rFonts w:ascii="Arial" w:cs="Arial" w:eastAsia="Arial" w:hAnsi="Arial"/>
          <w:color w:val="1A1A2E"/>
          <w:sz w:val="22"/>
          <w:szCs w:val="22"/>
        </w:rPr>
        <w:t xml:space="preserve"> The author can right-click a file or folder and choose “Delete.” This marks the file as deleted in EFS so it will be excluded from the next commit’s tree.</w:t>
      </w:r>
    </w:p>
    <w:p>
      <w:pPr>
        <w:pStyle w:val="ListParagraph"/>
        <w:numPr>
          <w:ilvl w:val="0"/>
          <w:numId w:val="2"/>
        </w:numPr>
        <w:spacing w:before="60" w:after="60"/>
      </w:pPr>
      <w:r>
        <w:rPr>
          <w:rFonts w:ascii="Arial" w:cs="Arial" w:eastAsia="Arial" w:hAnsi="Arial"/>
          <w:b/>
          <w:bCs/>
          <w:color w:val="1A1A2E"/>
          <w:sz w:val="22"/>
          <w:szCs w:val="22"/>
        </w:rPr>
        <w:t xml:space="preserve">Committing:</w:t>
      </w:r>
      <w:r>
        <w:rPr>
          <w:rFonts w:ascii="Arial" w:cs="Arial" w:eastAsia="Arial" w:hAnsi="Arial"/>
          <w:color w:val="1A1A2E"/>
          <w:sz w:val="22"/>
          <w:szCs w:val="22"/>
        </w:rPr>
        <w:t xml:space="preserve"> When the author is happy with all their changes, they click “Commit Changes.” The backend calls sync-blobs to transfer the EFS draft files to permanent S3 storage, calculates the new tree hash, writes a new commit record in Table 5 with status “pending,” and returns the new commit_hash. The author’s UI transitions to the commit status panel.</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Commit Status Panel</w:t>
      </w:r>
    </w:p>
    <w:p>
      <w:pPr>
        <w:spacing w:before="60" w:after="60"/>
      </w:pPr>
      <w:r>
        <w:rPr>
          <w:rFonts w:ascii="Arial" w:cs="Arial" w:eastAsia="Arial" w:hAnsi="Arial"/>
          <w:color w:val="1A1A2E"/>
          <w:sz w:val="22"/>
          <w:szCs w:val="22"/>
        </w:rPr>
        <w:t xml:space="preserve">Once a commit is submitted, the author cannot enter edit mode again until the commit is resolved. The commit status panel is their window into the review process.</w:t>
      </w:r>
    </w:p>
    <w:p>
      <w:pPr>
        <w:pStyle w:val="ListParagraph"/>
        <w:numPr>
          <w:ilvl w:val="0"/>
          <w:numId w:val="2"/>
        </w:numPr>
        <w:spacing w:before="60" w:after="60"/>
      </w:pPr>
      <w:r>
        <w:rPr>
          <w:rFonts w:ascii="Arial" w:cs="Arial" w:eastAsia="Arial" w:hAnsi="Arial"/>
          <w:b/>
          <w:bCs/>
          <w:color w:val="1A1A2E"/>
          <w:sz w:val="22"/>
          <w:szCs w:val="22"/>
        </w:rPr>
        <w:t xml:space="preserve">Pending:</w:t>
      </w:r>
      <w:r>
        <w:rPr>
          <w:rFonts w:ascii="Arial" w:cs="Arial" w:eastAsia="Arial" w:hAnsi="Arial"/>
          <w:color w:val="1A1A2E"/>
          <w:sz w:val="22"/>
          <w:szCs w:val="22"/>
        </w:rPr>
        <w:t xml:space="preserve"> The panel shows the commit hash, a submission timestamp, and a spinner indicating the commit is awaiting review. The author cannot make further edits while a commit is pending.</w:t>
      </w:r>
    </w:p>
    <w:p>
      <w:pPr>
        <w:pStyle w:val="ListParagraph"/>
        <w:numPr>
          <w:ilvl w:val="0"/>
          <w:numId w:val="2"/>
        </w:numPr>
        <w:spacing w:before="60" w:after="60"/>
      </w:pPr>
      <w:r>
        <w:rPr>
          <w:rFonts w:ascii="Arial" w:cs="Arial" w:eastAsia="Arial" w:hAnsi="Arial"/>
          <w:b/>
          <w:bCs/>
          <w:color w:val="1A1A2E"/>
          <w:sz w:val="22"/>
          <w:szCs w:val="22"/>
        </w:rPr>
        <w:t xml:space="preserve">Approved:</w:t>
      </w:r>
      <w:r>
        <w:rPr>
          <w:rFonts w:ascii="Arial" w:cs="Arial" w:eastAsia="Arial" w:hAnsi="Arial"/>
          <w:color w:val="1A1A2E"/>
          <w:sz w:val="22"/>
          <w:szCs w:val="22"/>
        </w:rPr>
        <w:t xml:space="preserve"> The spinner is replaced with a green success indicator. The commit has been approved and is now the new head. The author’s EFS draft folder is automatically wiped (via SQS message to Repo-Service). The author can now re-enter edit mode to begin their next set of changes, which will be based on the newly approved head. An email notification is also sent via SES.</w:t>
      </w:r>
    </w:p>
    <w:p>
      <w:pPr>
        <w:pStyle w:val="ListParagraph"/>
        <w:numPr>
          <w:ilvl w:val="0"/>
          <w:numId w:val="2"/>
        </w:numPr>
        <w:spacing w:before="60" w:after="60"/>
      </w:pPr>
      <w:r>
        <w:rPr>
          <w:rFonts w:ascii="Arial" w:cs="Arial" w:eastAsia="Arial" w:hAnsi="Arial"/>
          <w:b/>
          <w:bCs/>
          <w:color w:val="1A1A2E"/>
          <w:sz w:val="22"/>
          <w:szCs w:val="22"/>
        </w:rPr>
        <w:t xml:space="preserve">Rejected by reviewer:</w:t>
      </w:r>
      <w:r>
        <w:rPr>
          <w:rFonts w:ascii="Arial" w:cs="Arial" w:eastAsia="Arial" w:hAnsi="Arial"/>
          <w:color w:val="1A1A2E"/>
          <w:sz w:val="22"/>
          <w:szCs w:val="22"/>
        </w:rPr>
        <w:t xml:space="preserve"> The panel shows a red rejection indicator and displays the reviewer’s written comment. The author reads the feedback, understands what needs to change, and clicks “Return to Edit Mode” to address the feedback and resubmit. Their EFS draft is preserved so they don’t lose their work. An email notification is also sent via SES.</w:t>
      </w:r>
    </w:p>
    <w:p>
      <w:pPr>
        <w:pStyle w:val="ListParagraph"/>
        <w:numPr>
          <w:ilvl w:val="0"/>
          <w:numId w:val="2"/>
        </w:numPr>
        <w:spacing w:before="60" w:after="60"/>
      </w:pPr>
      <w:r>
        <w:rPr>
          <w:rFonts w:ascii="Arial" w:cs="Arial" w:eastAsia="Arial" w:hAnsi="Arial"/>
          <w:b/>
          <w:bCs/>
          <w:color w:val="1A1A2E"/>
          <w:sz w:val="22"/>
          <w:szCs w:val="22"/>
        </w:rPr>
        <w:t xml:space="preserve">Rejected as sibling (conflict):</w:t>
      </w:r>
      <w:r>
        <w:rPr>
          <w:rFonts w:ascii="Arial" w:cs="Arial" w:eastAsia="Arial" w:hAnsi="Arial"/>
          <w:color w:val="1A1A2E"/>
          <w:sz w:val="22"/>
          <w:szCs w:val="22"/>
        </w:rPr>
        <w:t xml:space="preserve"> This is a distinct case from a reviewer rejection. It occurs when another author’s commit — which shares the same parent — was approved first. The panel shows an amber conflict indicator with the message “Another change was approved before yours. Please review the conflict and resubmit.” The author is then directed to the Conflict Review Screen described below.</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Conflict Review Screen — Detailed UX</w:t>
      </w:r>
    </w:p>
    <w:p>
      <w:pPr>
        <w:spacing w:before="60" w:after="60"/>
      </w:pPr>
      <w:r>
        <w:rPr>
          <w:rFonts w:ascii="Arial" w:cs="Arial" w:eastAsia="Arial" w:hAnsi="Arial"/>
          <w:color w:val="1A1A2E"/>
          <w:sz w:val="22"/>
          <w:szCs w:val="22"/>
        </w:rPr>
        <w:t xml:space="preserve">The Conflict Review Screen is shown when an author’s commit is rejected as a sibling due to another commit being approved from the same parent. Its purpose is to surface exactly what changed in the approved commit versus what the author had in their draft, file by file, so the author can make an informed decision for each one before resubmitting. This screen replaces the old behaviour of silently loading the new head and hoping the author notices discrepancies.</w:t>
      </w:r>
    </w:p>
    <w:p>
      <w:pPr>
        <w:spacing w:before="80" w:after="0"/>
      </w:pPr>
      <w:r>
        <w:rPr>
          <w:rFonts w:ascii="Arial" w:cs="Arial" w:eastAsia="Arial" w:hAnsi="Arial"/>
          <w:color w:val="1A1A2E"/>
          <w:sz w:val="22"/>
          <w:szCs w:val="22"/>
        </w:rPr>
        <w:t xml:space="preserve"/>
      </w:r>
    </w:p>
    <w:p>
      <w:pPr>
        <w:spacing w:before="60" w:after="60"/>
      </w:pPr>
      <w:r>
        <w:rPr>
          <w:rFonts w:ascii="Arial" w:cs="Arial" w:eastAsia="Arial" w:hAnsi="Arial"/>
          <w:b/>
          <w:bCs/>
          <w:color w:val="1A1A2E"/>
          <w:sz w:val="22"/>
          <w:szCs w:val="22"/>
        </w:rPr>
        <w:t xml:space="preserve">How the screen is populated:</w:t>
      </w:r>
      <w:r>
        <w:rPr>
          <w:rFonts w:ascii="Arial" w:cs="Arial" w:eastAsia="Arial" w:hAnsi="Arial"/>
          <w:color w:val="1A1A2E"/>
          <w:sz w:val="22"/>
          <w:szCs w:val="22"/>
        </w:rPr>
        <w:t xml:space="preserve"> The backend calls a dedicated conflicts endpoint — GET /v1/repos/{id}/conflicts?base={old_parent_hash}&amp;head={new_head_hash}&amp;user_id={uid} — which compares three sources: the old parent commit’s tree (what both authors started from), the newly approved commit’s tree (what the winner produced), and the current author’s EFS draft (what the loser produced). Every file in the union of these three trees is classified into one of four categories:</w:t>
      </w:r>
    </w:p>
    <w:p>
      <w:pPr>
        <w:spacing w:before="80" w:after="0"/>
      </w:pPr>
      <w:r>
        <w:rPr>
          <w:rFonts w:ascii="Arial" w:cs="Arial" w:eastAsia="Arial" w:hAnsi="Arial"/>
          <w:color w:val="1A1A2E"/>
          <w:sz w:val="22"/>
          <w:szCs w:val="22"/>
        </w:rPr>
        <w:t xml:space="preserve"/>
      </w:r>
    </w:p>
    <w:p>
      <w:pPr>
        <w:pBdr>
          <w:left w:val="single" w:color="94A3B8" w:sz="20" w:space="10"/>
        </w:pBdr>
        <w:spacing w:before="120" w:after="30"/>
        <w:ind w:left="360"/>
      </w:pPr>
      <w:r>
        <w:rPr>
          <w:rFonts w:ascii="Arial" w:cs="Arial" w:eastAsia="Arial" w:hAnsi="Arial"/>
          <w:b/>
          <w:bCs/>
          <w:color w:val="334155"/>
          <w:sz w:val="20"/>
          <w:szCs w:val="20"/>
        </w:rPr>
        <w:t xml:space="preserve">  Category 1 — No Conflict</w:t>
      </w:r>
    </w:p>
    <w:p>
      <w:pPr>
        <w:pBdr>
          <w:left w:val="single" w:color="94A3B8" w:sz="20" w:space="10"/>
        </w:pBdr>
        <w:spacing w:before="24" w:after="24"/>
        <w:ind w:left="560"/>
      </w:pPr>
      <w:r>
        <w:rPr>
          <w:rFonts w:ascii="Arial" w:cs="Arial" w:eastAsia="Arial" w:hAnsi="Arial"/>
          <w:color w:val="334155"/>
          <w:sz w:val="20"/>
          <w:szCs w:val="20"/>
        </w:rPr>
        <w:t xml:space="preserve">The file was either only changed by the author, only changed by the approved commit, or not changed by either.</w:t>
      </w:r>
    </w:p>
    <w:p>
      <w:pPr>
        <w:pBdr>
          <w:left w:val="single" w:color="94A3B8" w:sz="20" w:space="10"/>
        </w:pBdr>
        <w:spacing w:before="24" w:after="24"/>
        <w:ind w:left="560"/>
      </w:pPr>
      <w:r>
        <w:rPr>
          <w:rFonts w:ascii="Arial" w:cs="Arial" w:eastAsia="Arial" w:hAnsi="Arial"/>
          <w:color w:val="334155"/>
          <w:sz w:val="20"/>
          <w:szCs w:val="20"/>
        </w:rPr>
        <w:t xml:space="preserve">Sub-case A: Only the author changed it. Their draft is carried forward automatically. No action required.</w:t>
      </w:r>
    </w:p>
    <w:p>
      <w:pPr>
        <w:pBdr>
          <w:left w:val="single" w:color="94A3B8" w:sz="20" w:space="10"/>
        </w:pBdr>
        <w:spacing w:before="24" w:after="24"/>
        <w:ind w:left="560"/>
      </w:pPr>
      <w:r>
        <w:rPr>
          <w:rFonts w:ascii="Arial" w:cs="Arial" w:eastAsia="Arial" w:hAnsi="Arial"/>
          <w:color w:val="334155"/>
          <w:sz w:val="20"/>
          <w:szCs w:val="20"/>
        </w:rPr>
        <w:t xml:space="preserve">Sub-case B: Only the approved commit changed it. The approved version is used. No action required.</w:t>
      </w:r>
    </w:p>
    <w:p>
      <w:pPr>
        <w:pBdr>
          <w:left w:val="single" w:color="94A3B8" w:sz="20" w:space="10"/>
        </w:pBdr>
        <w:spacing w:before="24" w:after="24"/>
        <w:ind w:left="560"/>
      </w:pPr>
      <w:r>
        <w:rPr>
          <w:rFonts w:ascii="Arial" w:cs="Arial" w:eastAsia="Arial" w:hAnsi="Arial"/>
          <w:color w:val="334155"/>
          <w:sz w:val="20"/>
          <w:szCs w:val="20"/>
        </w:rPr>
        <w:t xml:space="preserve">Sub-case C: Neither changed it. The file is unchanged. No action required.</w:t>
      </w:r>
    </w:p>
    <w:p>
      <w:pPr>
        <w:pBdr>
          <w:left w:val="single" w:color="94A3B8" w:sz="20" w:space="10"/>
        </w:pBdr>
        <w:spacing w:before="24" w:after="24"/>
        <w:ind w:left="560"/>
      </w:pPr>
      <w:r>
        <w:rPr>
          <w:rFonts w:ascii="Arial" w:cs="Arial" w:eastAsia="Arial" w:hAnsi="Arial"/>
          <w:color w:val="334155"/>
          <w:sz w:val="20"/>
          <w:szCs w:val="20"/>
        </w:rPr>
        <w:t xml:space="preserve">These files are listed in a collapsed “No action needed” section at the bottom of the screen so the author has a full picture but is not distracted by them.</w:t>
      </w:r>
    </w:p>
    <w:p>
      <w:pPr>
        <w:spacing w:before="80" w:after="0"/>
      </w:pPr>
      <w:r>
        <w:rPr>
          <w:rFonts w:ascii="Arial" w:cs="Arial" w:eastAsia="Arial" w:hAnsi="Arial"/>
          <w:color w:val="1A1A2E"/>
          <w:sz w:val="22"/>
          <w:szCs w:val="22"/>
        </w:rPr>
        <w:t xml:space="preserve"/>
      </w:r>
    </w:p>
    <w:p>
      <w:pPr>
        <w:pBdr>
          <w:left w:val="single" w:color="94A3B8" w:sz="20" w:space="10"/>
        </w:pBdr>
        <w:spacing w:before="120" w:after="30"/>
        <w:ind w:left="360"/>
      </w:pPr>
      <w:r>
        <w:rPr>
          <w:rFonts w:ascii="Arial" w:cs="Arial" w:eastAsia="Arial" w:hAnsi="Arial"/>
          <w:b/>
          <w:bCs/>
          <w:color w:val="334155"/>
          <w:sz w:val="20"/>
          <w:szCs w:val="20"/>
        </w:rPr>
        <w:t xml:space="preserve">  Category 2 — Conflict (Both Sides Changed the Same File)</w:t>
      </w:r>
    </w:p>
    <w:p>
      <w:pPr>
        <w:pBdr>
          <w:left w:val="single" w:color="94A3B8" w:sz="20" w:space="10"/>
        </w:pBdr>
        <w:spacing w:before="24" w:after="24"/>
        <w:ind w:left="560"/>
      </w:pPr>
      <w:r>
        <w:rPr>
          <w:rFonts w:ascii="Arial" w:cs="Arial" w:eastAsia="Arial" w:hAnsi="Arial"/>
          <w:color w:val="334155"/>
          <w:sz w:val="20"/>
          <w:szCs w:val="20"/>
        </w:rPr>
        <w:t xml:space="preserve">Both the author’s draft and the approved commit modified the same file starting from the same parent version.</w:t>
      </w:r>
    </w:p>
    <w:p>
      <w:pPr>
        <w:pBdr>
          <w:left w:val="single" w:color="94A3B8" w:sz="20" w:space="10"/>
        </w:pBdr>
        <w:spacing w:before="24" w:after="24"/>
        <w:ind w:left="560"/>
      </w:pPr>
      <w:r>
        <w:rPr>
          <w:rFonts w:ascii="Arial" w:cs="Arial" w:eastAsia="Arial" w:hAnsi="Arial"/>
          <w:color w:val="334155"/>
          <w:sz w:val="20"/>
          <w:szCs w:val="20"/>
        </w:rPr>
        <w:t xml:space="preserve">The UI shows a side-by-side diff panel for this file: the author’s version on the left, the approved version on the right. Line-level differences are highlighted in the same style as the reviewer diff view.</w:t>
      </w:r>
    </w:p>
    <w:p>
      <w:pPr>
        <w:pBdr>
          <w:left w:val="single" w:color="94A3B8" w:sz="20" w:space="10"/>
        </w:pBdr>
        <w:spacing w:before="24" w:after="24"/>
        <w:ind w:left="560"/>
      </w:pPr>
      <w:r>
        <w:rPr>
          <w:rFonts w:ascii="Arial" w:cs="Arial" w:eastAsia="Arial" w:hAnsi="Arial"/>
          <w:color w:val="334155"/>
          <w:sz w:val="20"/>
          <w:szCs w:val="20"/>
        </w:rPr>
        <w:t xml:space="preserve">The author has three options: (A) Keep Mine — their draft version wins and is written back to EFS. (B) Use Theirs — the approved version is written to EFS, discarding the author’s changes to this file. (C) Edit Manually — the inline editor opens pre-populated with the author’s version, and the approved version is shown in a read-only panel alongside it. The author types a reconciled version and presses Save.</w:t>
      </w:r>
    </w:p>
    <w:p>
      <w:pPr>
        <w:pBdr>
          <w:left w:val="single" w:color="94A3B8" w:sz="20" w:space="10"/>
        </w:pBdr>
        <w:spacing w:before="24" w:after="24"/>
        <w:ind w:left="560"/>
      </w:pPr>
      <w:r>
        <w:rPr>
          <w:rFonts w:ascii="Arial" w:cs="Arial" w:eastAsia="Arial" w:hAnsi="Arial"/>
          <w:color w:val="334155"/>
          <w:sz w:val="20"/>
          <w:szCs w:val="20"/>
        </w:rPr>
        <w:t xml:space="preserve">Binary files (images, PDFs) cannot be merged line-by-line. For binary conflicts, the UI shows file metadata (name, size, type) for both versions and only offers Keep Mine or Use Theirs.</w:t>
      </w:r>
    </w:p>
    <w:p>
      <w:pPr>
        <w:spacing w:before="80" w:after="0"/>
      </w:pPr>
      <w:r>
        <w:rPr>
          <w:rFonts w:ascii="Arial" w:cs="Arial" w:eastAsia="Arial" w:hAnsi="Arial"/>
          <w:color w:val="1A1A2E"/>
          <w:sz w:val="22"/>
          <w:szCs w:val="22"/>
        </w:rPr>
        <w:t xml:space="preserve"/>
      </w:r>
    </w:p>
    <w:p>
      <w:pPr>
        <w:pBdr>
          <w:left w:val="single" w:color="94A3B8" w:sz="20" w:space="10"/>
        </w:pBdr>
        <w:spacing w:before="120" w:after="30"/>
        <w:ind w:left="360"/>
      </w:pPr>
      <w:r>
        <w:rPr>
          <w:rFonts w:ascii="Arial" w:cs="Arial" w:eastAsia="Arial" w:hAnsi="Arial"/>
          <w:b/>
          <w:bCs/>
          <w:color w:val="334155"/>
          <w:sz w:val="20"/>
          <w:szCs w:val="20"/>
        </w:rPr>
        <w:t xml:space="preserve">  Category 3 — File Added by Approved Commit (New Context)</w:t>
      </w:r>
    </w:p>
    <w:p>
      <w:pPr>
        <w:pBdr>
          <w:left w:val="single" w:color="94A3B8" w:sz="20" w:space="10"/>
        </w:pBdr>
        <w:spacing w:before="24" w:after="24"/>
        <w:ind w:left="560"/>
      </w:pPr>
      <w:r>
        <w:rPr>
          <w:rFonts w:ascii="Arial" w:cs="Arial" w:eastAsia="Arial" w:hAnsi="Arial"/>
          <w:color w:val="334155"/>
          <w:sz w:val="20"/>
          <w:szCs w:val="20"/>
        </w:rPr>
        <w:t xml:space="preserve">The approved commit added a file that did not exist in the parent and that the author has no draft version of.</w:t>
      </w:r>
    </w:p>
    <w:p>
      <w:pPr>
        <w:pBdr>
          <w:left w:val="single" w:color="94A3B8" w:sz="20" w:space="10"/>
        </w:pBdr>
        <w:spacing w:before="24" w:after="24"/>
        <w:ind w:left="560"/>
      </w:pPr>
      <w:r>
        <w:rPr>
          <w:rFonts w:ascii="Arial" w:cs="Arial" w:eastAsia="Arial" w:hAnsi="Arial"/>
          <w:color w:val="334155"/>
          <w:sz w:val="20"/>
          <w:szCs w:val="20"/>
        </w:rPr>
        <w:t xml:space="preserve">This file is shown in a “New in approved commit” section. The author can view its contents but takes no action — it will automatically be present in the new head they are rebasing against.</w:t>
      </w:r>
    </w:p>
    <w:p>
      <w:pPr>
        <w:pBdr>
          <w:left w:val="single" w:color="94A3B8" w:sz="20" w:space="10"/>
        </w:pBdr>
        <w:spacing w:before="24" w:after="24"/>
        <w:ind w:left="560"/>
      </w:pPr>
      <w:r>
        <w:rPr>
          <w:rFonts w:ascii="Arial" w:cs="Arial" w:eastAsia="Arial" w:hAnsi="Arial"/>
          <w:color w:val="334155"/>
          <w:sz w:val="20"/>
          <w:szCs w:val="20"/>
        </w:rPr>
        <w:t xml:space="preserve">This is purely informational: the author needs to know about the new file because their code or content may depend on it.</w:t>
      </w:r>
    </w:p>
    <w:p>
      <w:pPr>
        <w:spacing w:before="80" w:after="0"/>
      </w:pPr>
      <w:r>
        <w:rPr>
          <w:rFonts w:ascii="Arial" w:cs="Arial" w:eastAsia="Arial" w:hAnsi="Arial"/>
          <w:color w:val="1A1A2E"/>
          <w:sz w:val="22"/>
          <w:szCs w:val="22"/>
        </w:rPr>
        <w:t xml:space="preserve"/>
      </w:r>
    </w:p>
    <w:p>
      <w:pPr>
        <w:pBdr>
          <w:left w:val="single" w:color="94A3B8" w:sz="20" w:space="10"/>
        </w:pBdr>
        <w:spacing w:before="120" w:after="30"/>
        <w:ind w:left="360"/>
      </w:pPr>
      <w:r>
        <w:rPr>
          <w:rFonts w:ascii="Arial" w:cs="Arial" w:eastAsia="Arial" w:hAnsi="Arial"/>
          <w:b/>
          <w:bCs/>
          <w:color w:val="334155"/>
          <w:sz w:val="20"/>
          <w:szCs w:val="20"/>
        </w:rPr>
        <w:t xml:space="preserve">  Category 4 — File Deleted by Approved Commit</w:t>
      </w:r>
    </w:p>
    <w:p>
      <w:pPr>
        <w:pBdr>
          <w:left w:val="single" w:color="94A3B8" w:sz="20" w:space="10"/>
        </w:pBdr>
        <w:spacing w:before="24" w:after="24"/>
        <w:ind w:left="560"/>
      </w:pPr>
      <w:r>
        <w:rPr>
          <w:rFonts w:ascii="Arial" w:cs="Arial" w:eastAsia="Arial" w:hAnsi="Arial"/>
          <w:color w:val="334155"/>
          <w:sz w:val="20"/>
          <w:szCs w:val="20"/>
        </w:rPr>
        <w:t xml:space="preserve">The approved commit deleted a file that existed in the parent.</w:t>
      </w:r>
    </w:p>
    <w:p>
      <w:pPr>
        <w:pBdr>
          <w:left w:val="single" w:color="94A3B8" w:sz="20" w:space="10"/>
        </w:pBdr>
        <w:spacing w:before="24" w:after="24"/>
        <w:ind w:left="560"/>
      </w:pPr>
      <w:r>
        <w:rPr>
          <w:rFonts w:ascii="Arial" w:cs="Arial" w:eastAsia="Arial" w:hAnsi="Arial"/>
          <w:color w:val="334155"/>
          <w:sz w:val="20"/>
          <w:szCs w:val="20"/>
        </w:rPr>
        <w:t xml:space="preserve">Sub-case A: The author did not touch this file in their draft. The deletion is accepted automatically. No action required.</w:t>
      </w:r>
    </w:p>
    <w:p>
      <w:pPr>
        <w:pBdr>
          <w:left w:val="single" w:color="94A3B8" w:sz="20" w:space="10"/>
        </w:pBdr>
        <w:spacing w:before="24" w:after="24"/>
        <w:ind w:left="560"/>
      </w:pPr>
      <w:r>
        <w:rPr>
          <w:rFonts w:ascii="Arial" w:cs="Arial" w:eastAsia="Arial" w:hAnsi="Arial"/>
          <w:color w:val="334155"/>
          <w:sz w:val="20"/>
          <w:szCs w:val="20"/>
        </w:rPr>
        <w:t xml:space="preserve">Sub-case B: The author has a modified version of this file in their EFS draft. The UI flags this as a conflict: “This file was deleted in the approved commit, but you have local changes to it.” The author chooses: (A) Accept Deletion — the file is removed from their EFS draft. (B) Restore My Version — the author’s draft version is kept and the file will reappear in the new commit.</w:t>
      </w:r>
    </w:p>
    <w:p>
      <w:pPr>
        <w:spacing w:before="80" w:after="0"/>
      </w:pPr>
      <w:r>
        <w:rPr>
          <w:rFonts w:ascii="Arial" w:cs="Arial" w:eastAsia="Arial" w:hAnsi="Arial"/>
          <w:color w:val="1A1A2E"/>
          <w:sz w:val="22"/>
          <w:szCs w:val="22"/>
        </w:rPr>
        <w:t xml:space="preserve"/>
      </w:r>
    </w:p>
    <w:p>
      <w:pPr>
        <w:spacing w:before="60" w:after="60"/>
      </w:pPr>
      <w:r>
        <w:rPr>
          <w:rFonts w:ascii="Arial" w:cs="Arial" w:eastAsia="Arial" w:hAnsi="Arial"/>
          <w:b/>
          <w:bCs/>
          <w:color w:val="1A1A2E"/>
          <w:sz w:val="22"/>
          <w:szCs w:val="22"/>
        </w:rPr>
        <w:t xml:space="preserve">Completing the conflict review:</w:t>
      </w:r>
      <w:r>
        <w:rPr>
          <w:rFonts w:ascii="Arial" w:cs="Arial" w:eastAsia="Arial" w:hAnsi="Arial"/>
          <w:color w:val="1A1A2E"/>
          <w:sz w:val="22"/>
          <w:szCs w:val="22"/>
        </w:rPr>
        <w:t xml:space="preserve"> Once the author has resolved all flagged conflicts (categories 2 and 4 sub-case B), the “Rebase and Continue” button becomes active. Clicking it writes all resolved files back to EFS as a clean draft based on the new head, then redirects the author back to edit mode where they can review the final state before committing again. The new commit will have the approved head as its parent, not the original stale parent, so there is no risk of another sibling rejection for this set of changes.</w:t>
      </w:r>
    </w:p>
    <w:p>
      <w:pPr>
        <w:spacing w:before="80" w:after="0"/>
      </w:pPr>
      <w:r>
        <w:rPr>
          <w:rFonts w:ascii="Arial" w:cs="Arial" w:eastAsia="Arial" w:hAnsi="Arial"/>
          <w:color w:val="1A1A2E"/>
          <w:sz w:val="22"/>
          <w:szCs w:val="22"/>
        </w:rPr>
        <w:t xml:space="preserve"/>
      </w:r>
    </w:p>
    <w:p>
      <w:pPr>
        <w:pBdr>
          <w:left w:val="single" w:color="3B82F6" w:sz="16" w:space="8"/>
        </w:pBdr>
        <w:spacing w:before="140" w:after="40"/>
        <w:ind w:left="180"/>
      </w:pPr>
      <w:r>
        <w:rPr>
          <w:rFonts w:ascii="Arial" w:cs="Arial" w:eastAsia="Arial" w:hAnsi="Arial"/>
          <w:b/>
          <w:bCs/>
          <w:color w:val="1E3A5F"/>
          <w:sz w:val="20"/>
          <w:szCs w:val="20"/>
        </w:rPr>
        <w:t xml:space="preserve">  💡  Logical Gap Resolved: Conflict Review Screen</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The previous spec told the author to simply re-enter edit mode after a sibling rejection, which silently overlaid their stale drafts onto the new head. This created invisible conflicts where the same file could have been modified by both parties without the author realising.</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The Conflict Review Screen fixes this by explicitly classifying every affected file into one of four categories and presenting a per-file resolution UI before any resubmission is allowed.</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This requires one new backend endpoint: GET /v1/repos/{id}/conflicts?base={old_parent_hash}&amp;head={new_head_hash}&amp;user_id={uid}, which diffs the author’s EFS draft against both the old parent and the new head to produce the classification. The actual merge decisions are made by the author in the browser, keeping the backend logic simple.</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The “Rebase and Continue” action writes the resolved state back to EFS and updates the author’s working parent reference to the new head before they commit.</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Reviewer</w:t>
      </w:r>
    </w:p>
    <w:p>
      <w:pPr>
        <w:spacing w:before="60" w:after="60"/>
      </w:pPr>
      <w:r>
        <w:rPr>
          <w:rFonts w:ascii="Arial" w:cs="Arial" w:eastAsia="Arial" w:hAnsi="Arial"/>
          <w:color w:val="1A1A2E"/>
          <w:sz w:val="22"/>
          <w:szCs w:val="22"/>
        </w:rPr>
        <w:t xml:space="preserve">The reviewer role is focused entirely on evaluating proposed commits. Reviewers do not edit files or manage repository membership.</w:t>
      </w:r>
    </w:p>
    <w:p>
      <w:pPr>
        <w:spacing w:before="80" w:after="0"/>
      </w:pPr>
      <w:r>
        <w:rPr>
          <w:rFonts w:ascii="Arial" w:cs="Arial" w:eastAsia="Arial" w:hAnsi="Arial"/>
          <w:color w:val="1A1A2E"/>
          <w:sz w:val="22"/>
          <w:szCs w:val="22"/>
        </w:rPr>
        <w:t xml:space="preserve"/>
      </w:r>
    </w:p>
    <w:p>
      <w:pPr>
        <w:pStyle w:val="ListParagraph"/>
        <w:numPr>
          <w:ilvl w:val="0"/>
          <w:numId w:val="2"/>
        </w:numPr>
        <w:spacing w:before="60" w:after="60"/>
      </w:pPr>
      <w:r>
        <w:rPr>
          <w:rFonts w:ascii="Arial" w:cs="Arial" w:eastAsia="Arial" w:hAnsi="Arial"/>
          <w:b/>
          <w:bCs/>
          <w:color w:val="1A1A2E"/>
          <w:sz w:val="22"/>
          <w:szCs w:val="22"/>
        </w:rPr>
        <w:t xml:space="preserve">Pending commits queue:</w:t>
      </w:r>
      <w:r>
        <w:rPr>
          <w:rFonts w:ascii="Arial" w:cs="Arial" w:eastAsia="Arial" w:hAnsi="Arial"/>
          <w:color w:val="1A1A2E"/>
          <w:sz w:val="22"/>
          <w:szCs w:val="22"/>
        </w:rPr>
        <w:t xml:space="preserve"> The reviewer sees a list of all commits with status “pending” for the repository. Each entry shows the commit hash, the author’s name, the submission timestamp, and a link to open the diff view.</w:t>
      </w:r>
    </w:p>
    <w:p>
      <w:pPr>
        <w:pStyle w:val="ListParagraph"/>
        <w:numPr>
          <w:ilvl w:val="0"/>
          <w:numId w:val="2"/>
        </w:numPr>
        <w:spacing w:before="60" w:after="60"/>
      </w:pPr>
      <w:r>
        <w:rPr>
          <w:rFonts w:ascii="Arial" w:cs="Arial" w:eastAsia="Arial" w:hAnsi="Arial"/>
          <w:b/>
          <w:bCs/>
          <w:color w:val="1A1A2E"/>
          <w:sz w:val="22"/>
          <w:szCs w:val="22"/>
        </w:rPr>
        <w:t xml:space="preserve">Author attribution:</w:t>
      </w:r>
      <w:r>
        <w:rPr>
          <w:rFonts w:ascii="Arial" w:cs="Arial" w:eastAsia="Arial" w:hAnsi="Arial"/>
          <w:color w:val="1A1A2E"/>
          <w:sz w:val="22"/>
          <w:szCs w:val="22"/>
        </w:rPr>
        <w:t xml:space="preserve"> Each pending commit clearly shows who authored it. This gives the reviewer context when reading the diff, especially in repositories with multiple active authors.</w:t>
      </w:r>
    </w:p>
    <w:p>
      <w:pPr>
        <w:pStyle w:val="ListParagraph"/>
        <w:numPr>
          <w:ilvl w:val="0"/>
          <w:numId w:val="2"/>
        </w:numPr>
        <w:spacing w:before="60" w:after="60"/>
      </w:pPr>
      <w:r>
        <w:rPr>
          <w:rFonts w:ascii="Arial" w:cs="Arial" w:eastAsia="Arial" w:hAnsi="Arial"/>
          <w:b/>
          <w:bCs/>
          <w:color w:val="1A1A2E"/>
          <w:sz w:val="22"/>
          <w:szCs w:val="22"/>
        </w:rPr>
        <w:t xml:space="preserve">Diff view:</w:t>
      </w:r>
      <w:r>
        <w:rPr>
          <w:rFonts w:ascii="Arial" w:cs="Arial" w:eastAsia="Arial" w:hAnsi="Arial"/>
          <w:color w:val="1A1A2E"/>
          <w:sz w:val="22"/>
          <w:szCs w:val="22"/>
        </w:rPr>
        <w:t xml:space="preserve"> Opening a pending commit shows a file-by-file diff against the parent commit. Text files show a line-by-line diff with additions highlighted in green and deletions in red. Binary files show a “Binary file changed” label with the file name, size change, and MIME type, along with download links for the before and after versions so the reviewer can inspect them locally.</w:t>
      </w:r>
    </w:p>
    <w:p>
      <w:pPr>
        <w:pStyle w:val="ListParagraph"/>
        <w:numPr>
          <w:ilvl w:val="0"/>
          <w:numId w:val="2"/>
        </w:numPr>
        <w:spacing w:before="60" w:after="60"/>
      </w:pPr>
      <w:r>
        <w:rPr>
          <w:rFonts w:ascii="Arial" w:cs="Arial" w:eastAsia="Arial" w:hAnsi="Arial"/>
          <w:b/>
          <w:bCs/>
          <w:color w:val="1A1A2E"/>
          <w:sz w:val="22"/>
          <w:szCs w:val="22"/>
        </w:rPr>
        <w:t xml:space="preserve">Approving:</w:t>
      </w:r>
      <w:r>
        <w:rPr>
          <w:rFonts w:ascii="Arial" w:cs="Arial" w:eastAsia="Arial" w:hAnsi="Arial"/>
          <w:color w:val="1A1A2E"/>
          <w:sz w:val="22"/>
          <w:szCs w:val="22"/>
        </w:rPr>
        <w:t xml:space="preserve"> The reviewer clicks “Approve.” The Workflow-Service atomically marks this commit as approved, rejects all sibling commits sharing the same parent, updates Table 2’s latest_commit_hash, triggers SQS cleanup of the author’s EFS draft, and sends SES notifications to all affected authors.</w:t>
      </w:r>
    </w:p>
    <w:p>
      <w:pPr>
        <w:pStyle w:val="ListParagraph"/>
        <w:numPr>
          <w:ilvl w:val="0"/>
          <w:numId w:val="2"/>
        </w:numPr>
        <w:spacing w:before="60" w:after="60"/>
      </w:pPr>
      <w:r>
        <w:rPr>
          <w:rFonts w:ascii="Arial" w:cs="Arial" w:eastAsia="Arial" w:hAnsi="Arial"/>
          <w:b/>
          <w:bCs/>
          <w:color w:val="1A1A2E"/>
          <w:sz w:val="22"/>
          <w:szCs w:val="22"/>
        </w:rPr>
        <w:t xml:space="preserve">Rejecting:</w:t>
      </w:r>
      <w:r>
        <w:rPr>
          <w:rFonts w:ascii="Arial" w:cs="Arial" w:eastAsia="Arial" w:hAnsi="Arial"/>
          <w:color w:val="1A1A2E"/>
          <w:sz w:val="22"/>
          <w:szCs w:val="22"/>
        </w:rPr>
        <w:t xml:space="preserve"> The reviewer clicks “Reject” and is presented with a required text field for a rejection comment. The comment must be non-empty before the rejection can be submitted. Once submitted, the commit is marked as rejected in Table 5, the reviewer’s comment is stored, and an SES email is sent to the author containing the full comment.</w:t>
      </w:r>
    </w:p>
    <w:p>
      <w:pPr>
        <w:pStyle w:val="ListParagraph"/>
        <w:numPr>
          <w:ilvl w:val="0"/>
          <w:numId w:val="2"/>
        </w:numPr>
        <w:spacing w:before="60" w:after="60"/>
      </w:pPr>
      <w:r>
        <w:rPr>
          <w:rFonts w:ascii="Arial" w:cs="Arial" w:eastAsia="Arial" w:hAnsi="Arial"/>
          <w:b/>
          <w:bCs/>
          <w:color w:val="1A1A2E"/>
          <w:sz w:val="22"/>
          <w:szCs w:val="22"/>
        </w:rPr>
        <w:t xml:space="preserve">Sibling behaviour:</w:t>
      </w:r>
      <w:r>
        <w:rPr>
          <w:rFonts w:ascii="Arial" w:cs="Arial" w:eastAsia="Arial" w:hAnsi="Arial"/>
          <w:color w:val="1A1A2E"/>
          <w:sz w:val="22"/>
          <w:szCs w:val="22"/>
        </w:rPr>
        <w:t xml:space="preserve"> If the reviewer approves commit A and commits B and C share the same parent, B and C are automatically rejected without requiring the reviewer to act on them. They disappear from the reviewer’s queue. Their authors each receive a sibling rejection notification (amber, not red) directing them to the Conflict Review Screen.</w:t>
      </w:r>
    </w:p>
    <w:p>
      <w:pPr>
        <w:pStyle w:val="ListParagraph"/>
        <w:numPr>
          <w:ilvl w:val="0"/>
          <w:numId w:val="2"/>
        </w:numPr>
        <w:spacing w:before="60" w:after="60"/>
      </w:pPr>
      <w:r>
        <w:rPr>
          <w:rFonts w:ascii="Arial" w:cs="Arial" w:eastAsia="Arial" w:hAnsi="Arial"/>
          <w:b/>
          <w:bCs/>
          <w:color w:val="1A1A2E"/>
          <w:sz w:val="22"/>
          <w:szCs w:val="22"/>
        </w:rPr>
        <w:t xml:space="preserve">Empty state:</w:t>
      </w:r>
      <w:r>
        <w:rPr>
          <w:rFonts w:ascii="Arial" w:cs="Arial" w:eastAsia="Arial" w:hAnsi="Arial"/>
          <w:color w:val="1A1A2E"/>
          <w:sz w:val="22"/>
          <w:szCs w:val="22"/>
        </w:rPr>
        <w:t xml:space="preserve"> When there are no pending commits, the reviewer sees a “No pending commits” message rather than a blank queue.</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Admin</w:t>
      </w:r>
    </w:p>
    <w:p>
      <w:pPr>
        <w:spacing w:before="60" w:after="60"/>
      </w:pPr>
      <w:r>
        <w:rPr>
          <w:rFonts w:ascii="Arial" w:cs="Arial" w:eastAsia="Arial" w:hAnsi="Arial"/>
          <w:color w:val="1A1A2E"/>
          <w:sz w:val="22"/>
          <w:szCs w:val="22"/>
        </w:rPr>
        <w:t xml:space="preserve">The admin is the repository owner. They have all author and reviewer permissions, plus repository management capabilities.</w:t>
      </w:r>
    </w:p>
    <w:p>
      <w:pPr>
        <w:spacing w:before="80" w:after="0"/>
      </w:pPr>
      <w:r>
        <w:rPr>
          <w:rFonts w:ascii="Arial" w:cs="Arial" w:eastAsia="Arial" w:hAnsi="Arial"/>
          <w:color w:val="1A1A2E"/>
          <w:sz w:val="22"/>
          <w:szCs w:val="22"/>
        </w:rPr>
        <w:t xml:space="preserve"/>
      </w:r>
    </w:p>
    <w:p>
      <w:pPr>
        <w:pStyle w:val="ListParagraph"/>
        <w:numPr>
          <w:ilvl w:val="0"/>
          <w:numId w:val="2"/>
        </w:numPr>
        <w:spacing w:before="60" w:after="60"/>
      </w:pPr>
      <w:r>
        <w:rPr>
          <w:rFonts w:ascii="Arial" w:cs="Arial" w:eastAsia="Arial" w:hAnsi="Arial"/>
          <w:b/>
          <w:bCs/>
          <w:color w:val="1A1A2E"/>
          <w:sz w:val="22"/>
          <w:szCs w:val="22"/>
        </w:rPr>
        <w:t xml:space="preserve">All author permissions:</w:t>
      </w:r>
      <w:r>
        <w:rPr>
          <w:rFonts w:ascii="Arial" w:cs="Arial" w:eastAsia="Arial" w:hAnsi="Arial"/>
          <w:color w:val="1A1A2E"/>
          <w:sz w:val="22"/>
          <w:szCs w:val="22"/>
        </w:rPr>
        <w:t xml:space="preserve"> The admin can enter edit mode, make changes, commit, and go through the full review cycle just like any author.</w:t>
      </w:r>
    </w:p>
    <w:p>
      <w:pPr>
        <w:pStyle w:val="ListParagraph"/>
        <w:numPr>
          <w:ilvl w:val="0"/>
          <w:numId w:val="2"/>
        </w:numPr>
        <w:spacing w:before="60" w:after="60"/>
      </w:pPr>
      <w:r>
        <w:rPr>
          <w:rFonts w:ascii="Arial" w:cs="Arial" w:eastAsia="Arial" w:hAnsi="Arial"/>
          <w:b/>
          <w:bCs/>
          <w:color w:val="1A1A2E"/>
          <w:sz w:val="22"/>
          <w:szCs w:val="22"/>
        </w:rPr>
        <w:t xml:space="preserve">All reviewer permissions:</w:t>
      </w:r>
      <w:r>
        <w:rPr>
          <w:rFonts w:ascii="Arial" w:cs="Arial" w:eastAsia="Arial" w:hAnsi="Arial"/>
          <w:color w:val="1A1A2E"/>
          <w:sz w:val="22"/>
          <w:szCs w:val="22"/>
        </w:rPr>
        <w:t xml:space="preserve"> The admin can review pending commits from other authors, approve or reject them with comments.</w:t>
      </w:r>
    </w:p>
    <w:p>
      <w:pPr>
        <w:pStyle w:val="ListParagraph"/>
        <w:numPr>
          <w:ilvl w:val="0"/>
          <w:numId w:val="2"/>
        </w:numPr>
        <w:spacing w:before="60" w:after="60"/>
      </w:pPr>
      <w:r>
        <w:rPr>
          <w:rFonts w:ascii="Arial" w:cs="Arial" w:eastAsia="Arial" w:hAnsi="Arial"/>
          <w:b/>
          <w:bCs/>
          <w:color w:val="1A1A2E"/>
          <w:sz w:val="22"/>
          <w:szCs w:val="22"/>
        </w:rPr>
        <w:t xml:space="preserve">Invite management:</w:t>
      </w:r>
      <w:r>
        <w:rPr>
          <w:rFonts w:ascii="Arial" w:cs="Arial" w:eastAsia="Arial" w:hAnsi="Arial"/>
          <w:color w:val="1A1A2E"/>
          <w:sz w:val="22"/>
          <w:szCs w:val="22"/>
        </w:rPr>
        <w:t xml:space="preserve"> The admin can invite users to the repository by email, assigning them a role (reader, author, or reviewer). The system generates a cryptographically secure token with a 72-hour TTL and sends it via SES. If the token expires before the recipient accepts, the admin is prompted to resend the invite. Accepted invites are immediately reflected in the repository’s member list.</w:t>
      </w:r>
    </w:p>
    <w:p>
      <w:pPr>
        <w:pStyle w:val="ListParagraph"/>
        <w:numPr>
          <w:ilvl w:val="0"/>
          <w:numId w:val="2"/>
        </w:numPr>
        <w:spacing w:before="60" w:after="60"/>
      </w:pPr>
      <w:r>
        <w:rPr>
          <w:rFonts w:ascii="Arial" w:cs="Arial" w:eastAsia="Arial" w:hAnsi="Arial"/>
          <w:b/>
          <w:bCs/>
          <w:color w:val="1A1A2E"/>
          <w:sz w:val="22"/>
          <w:szCs w:val="22"/>
        </w:rPr>
        <w:t xml:space="preserve">Repository deletion:</w:t>
      </w:r>
      <w:r>
        <w:rPr>
          <w:rFonts w:ascii="Arial" w:cs="Arial" w:eastAsia="Arial" w:hAnsi="Arial"/>
          <w:color w:val="1A1A2E"/>
          <w:sz w:val="22"/>
          <w:szCs w:val="22"/>
        </w:rPr>
        <w:t xml:space="preserve"> The admin can delete the repository entirely. A confirmation dialog warns them that this action is irreversible and lists what will be removed: all files, all commit history, all pending invites, and all member associations. On confirmation, the Workflow-Service performs a cascading cleanup across all tables and triggers an SQS message for EFS draft deletion.</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Database (RDS — PostgreSQL)</w:t>
      </w:r>
    </w:p>
    <w:p>
      <w:pPr>
        <w:pStyle w:val="ListParagraph"/>
        <w:numPr>
          <w:ilvl w:val="0"/>
          <w:numId w:val="2"/>
        </w:numPr>
        <w:spacing w:before="60" w:after="60"/>
      </w:pPr>
      <w:r>
        <w:rPr>
          <w:rFonts w:ascii="Arial" w:cs="Arial" w:eastAsia="Arial" w:hAnsi="Arial"/>
          <w:b/>
          <w:bCs/>
          <w:color w:val="1A1A2E"/>
          <w:sz w:val="22"/>
          <w:szCs w:val="22"/>
        </w:rPr>
        <w:t xml:space="preserve">Table 1 — User-Repo Associations:</w:t>
      </w:r>
      <w:r>
        <w:rPr>
          <w:rFonts w:ascii="Arial" w:cs="Arial" w:eastAsia="Arial" w:hAnsi="Arial"/>
          <w:color w:val="1A1A2E"/>
          <w:sz w:val="22"/>
          <w:szCs w:val="22"/>
        </w:rPr>
        <w:t xml:space="preserve"> id (PK), user_id (FK from Cognito), repo_id (FK), role. Shows relationships between users and repositories — one user can be in multiple repositories with a different role for each.</w:t>
      </w:r>
    </w:p>
    <w:p>
      <w:pPr>
        <w:pStyle w:val="ListParagraph"/>
        <w:numPr>
          <w:ilvl w:val="0"/>
          <w:numId w:val="2"/>
        </w:numPr>
        <w:spacing w:before="60" w:after="60"/>
      </w:pPr>
      <w:r>
        <w:rPr>
          <w:rFonts w:ascii="Arial" w:cs="Arial" w:eastAsia="Arial" w:hAnsi="Arial"/>
          <w:b/>
          <w:bCs/>
          <w:color w:val="1A1A2E"/>
          <w:sz w:val="22"/>
          <w:szCs w:val="22"/>
        </w:rPr>
        <w:t xml:space="preserve">Table 2 — Repository Metadata:</w:t>
      </w:r>
      <w:r>
        <w:rPr>
          <w:rFonts w:ascii="Arial" w:cs="Arial" w:eastAsia="Arial" w:hAnsi="Arial"/>
          <w:color w:val="1A1A2E"/>
          <w:sz w:val="22"/>
          <w:szCs w:val="22"/>
        </w:rPr>
        <w:t xml:space="preserve"> repo_id (PK), latest_commit_hash, repo_name, owner_id (FK), created_at, and other metadata.</w:t>
      </w:r>
    </w:p>
    <w:p>
      <w:pPr>
        <w:pStyle w:val="ListParagraph"/>
        <w:numPr>
          <w:ilvl w:val="0"/>
          <w:numId w:val="2"/>
        </w:numPr>
        <w:spacing w:before="60" w:after="60"/>
      </w:pPr>
      <w:r>
        <w:rPr>
          <w:rFonts w:ascii="Arial" w:cs="Arial" w:eastAsia="Arial" w:hAnsi="Arial"/>
          <w:b/>
          <w:bCs/>
          <w:color w:val="1A1A2E"/>
          <w:sz w:val="22"/>
          <w:szCs w:val="22"/>
        </w:rPr>
        <w:t xml:space="preserve">Table 3 — Trees:</w:t>
      </w:r>
      <w:r>
        <w:rPr>
          <w:rFonts w:ascii="Arial" w:cs="Arial" w:eastAsia="Arial" w:hAnsi="Arial"/>
          <w:color w:val="1A1A2E"/>
          <w:sz w:val="22"/>
          <w:szCs w:val="22"/>
        </w:rPr>
        <w:t xml:space="preserve"> id (PK), tree_hash. Stores tree objects only.</w:t>
      </w:r>
    </w:p>
    <w:p>
      <w:pPr>
        <w:pStyle w:val="ListParagraph"/>
        <w:numPr>
          <w:ilvl w:val="0"/>
          <w:numId w:val="2"/>
        </w:numPr>
        <w:spacing w:before="60" w:after="60"/>
      </w:pPr>
      <w:r>
        <w:rPr>
          <w:rFonts w:ascii="Arial" w:cs="Arial" w:eastAsia="Arial" w:hAnsi="Arial"/>
          <w:b/>
          <w:bCs/>
          <w:color w:val="1A1A2E"/>
          <w:sz w:val="22"/>
          <w:szCs w:val="22"/>
        </w:rPr>
        <w:t xml:space="preserve">Table 4 — Tree-Object Associations:</w:t>
      </w:r>
      <w:r>
        <w:rPr>
          <w:rFonts w:ascii="Arial" w:cs="Arial" w:eastAsia="Arial" w:hAnsi="Arial"/>
          <w:color w:val="1A1A2E"/>
          <w:sz w:val="22"/>
          <w:szCs w:val="22"/>
        </w:rPr>
        <w:t xml:space="preserve"> id (PK), tree_id (FK), type (blob or tree), name (file or folder name), content_hash (FK to Blobs table). Associates a given tree with blobs or other trees to visualize repository structure at any point in time.</w:t>
      </w:r>
    </w:p>
    <w:p>
      <w:pPr>
        <w:pStyle w:val="ListParagraph"/>
        <w:numPr>
          <w:ilvl w:val="0"/>
          <w:numId w:val="2"/>
        </w:numPr>
        <w:spacing w:before="60" w:after="60"/>
      </w:pPr>
      <w:r>
        <w:rPr>
          <w:rFonts w:ascii="Arial" w:cs="Arial" w:eastAsia="Arial" w:hAnsi="Arial"/>
          <w:b/>
          <w:bCs/>
          <w:color w:val="1A1A2E"/>
          <w:sz w:val="22"/>
          <w:szCs w:val="22"/>
        </w:rPr>
        <w:t xml:space="preserve">Table 5 — Commit Information:</w:t>
      </w:r>
      <w:r>
        <w:rPr>
          <w:rFonts w:ascii="Arial" w:cs="Arial" w:eastAsia="Arial" w:hAnsi="Arial"/>
          <w:color w:val="1A1A2E"/>
          <w:sz w:val="22"/>
          <w:szCs w:val="22"/>
        </w:rPr>
        <w:t xml:space="preserve"> id (PK), commit_hash, status (approved / rejected / pending), parent_commit_hash, tree_id (FK), repo_id (FK), owner_id (FK), timestamp, reviewer_comment (nullable). The reviewer_comment column stores the reason for rejection when a reviewer rejects a commit; it is null for approved commits.</w:t>
      </w:r>
    </w:p>
    <w:p>
      <w:pPr>
        <w:pStyle w:val="ListParagraph"/>
        <w:numPr>
          <w:ilvl w:val="0"/>
          <w:numId w:val="2"/>
        </w:numPr>
        <w:spacing w:before="60" w:after="60"/>
      </w:pPr>
      <w:r>
        <w:rPr>
          <w:rFonts w:ascii="Arial" w:cs="Arial" w:eastAsia="Arial" w:hAnsi="Arial"/>
          <w:b/>
          <w:bCs/>
          <w:color w:val="1A1A2E"/>
          <w:sz w:val="22"/>
          <w:szCs w:val="22"/>
        </w:rPr>
        <w:t xml:space="preserve">Table 6 — Blobs:</w:t>
      </w:r>
      <w:r>
        <w:rPr>
          <w:rFonts w:ascii="Arial" w:cs="Arial" w:eastAsia="Arial" w:hAnsi="Arial"/>
          <w:color w:val="1A1A2E"/>
          <w:sz w:val="22"/>
          <w:szCs w:val="22"/>
        </w:rPr>
        <w:t xml:space="preserve"> id (PK), content_hash (unique), size_bytes, mime_type, uploaded_at. Stores blob-level metadata independently of any tree reference. Because the same blob can be referenced by many trees (e.g. an unchanged file across commits), metadata is stored once here rather than duplicated in Table 4. The content_hash also serves as the S3 object key. A blob row is written by sync-blobs only if no row with that content_hash already exists, ensuring natural deduplication.</w:t>
      </w:r>
    </w:p>
    <w:p>
      <w:pPr>
        <w:pStyle w:val="ListParagraph"/>
        <w:numPr>
          <w:ilvl w:val="0"/>
          <w:numId w:val="2"/>
        </w:numPr>
        <w:spacing w:before="60" w:after="60"/>
      </w:pPr>
      <w:r>
        <w:rPr>
          <w:rFonts w:ascii="Arial" w:cs="Arial" w:eastAsia="Arial" w:hAnsi="Arial"/>
          <w:b/>
          <w:bCs/>
          <w:color w:val="1A1A2E"/>
          <w:sz w:val="22"/>
          <w:szCs w:val="22"/>
        </w:rPr>
        <w:t xml:space="preserve">Table 7 — Invite Tokens:</w:t>
      </w:r>
      <w:r>
        <w:rPr>
          <w:rFonts w:ascii="Arial" w:cs="Arial" w:eastAsia="Arial" w:hAnsi="Arial"/>
          <w:color w:val="1A1A2E"/>
          <w:sz w:val="22"/>
          <w:szCs w:val="22"/>
        </w:rPr>
        <w:t xml:space="preserve"> id (PK), token (unique), repo_id (FK), invited_email, role, created_at, expires_at. Tokens expire after 72 hours. The accept endpoint rejects any token whose expires_at is in the past.</w:t>
      </w:r>
    </w:p>
    <w:p>
      <w:pPr>
        <w:spacing w:before="80" w:after="0"/>
      </w:pPr>
      <w:r>
        <w:rPr>
          <w:rFonts w:ascii="Arial" w:cs="Arial" w:eastAsia="Arial" w:hAnsi="Arial"/>
          <w:color w:val="1A1A2E"/>
          <w:sz w:val="22"/>
          <w:szCs w:val="22"/>
        </w:rPr>
        <w:t xml:space="preserve"/>
      </w:r>
    </w:p>
    <w:p>
      <w:pPr>
        <w:pStyle w:val="ListParagraph"/>
        <w:numPr>
          <w:ilvl w:val="0"/>
          <w:numId w:val="2"/>
        </w:numPr>
        <w:spacing w:before="60" w:after="60"/>
      </w:pPr>
      <w:r>
        <w:rPr>
          <w:rFonts w:ascii="Arial" w:cs="Arial" w:eastAsia="Arial" w:hAnsi="Arial"/>
          <w:color w:val="1A1A2E"/>
          <w:sz w:val="22"/>
          <w:szCs w:val="22"/>
        </w:rPr>
        <w:t xml:space="preserve">ORM (SQLModel) will integrate the RDS database in the backend. Alembic will handle database migrations following industry standard practices.</w:t>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Blob Deduplication is Now Explicit</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The sync-blobs endpoint must check whether a row with the given content_hash already exists in Table 6 before uploading to S3 or writing a new row. If it already exists, the upload and insert are skipped entirely. This prevents redundant S3 PUT costs and duplicate rows.</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Invite Token Expiry</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Invite tokens now have a 72-hour TTL stored in Table 7. The accept endpoint validates expiry before writing to Table 1. Expired tokens return a 410 Gone response with a message prompting the admin to re-send the invite.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Storage and File System</w:t>
      </w:r>
    </w:p>
    <w:p>
      <w:pPr>
        <w:pStyle w:val="ListParagraph"/>
        <w:numPr>
          <w:ilvl w:val="0"/>
          <w:numId w:val="2"/>
        </w:numPr>
        <w:spacing w:before="60" w:after="60"/>
      </w:pPr>
      <w:r>
        <w:rPr>
          <w:rFonts w:ascii="Arial" w:cs="Arial" w:eastAsia="Arial" w:hAnsi="Arial"/>
          <w:b/>
          <w:bCs/>
          <w:color w:val="1A1A2E"/>
          <w:sz w:val="22"/>
          <w:szCs w:val="22"/>
        </w:rPr>
        <w:t xml:space="preserve">S3</w:t>
      </w:r>
      <w:r>
        <w:rPr>
          <w:rFonts w:ascii="Arial" w:cs="Arial" w:eastAsia="Arial" w:hAnsi="Arial"/>
          <w:color w:val="1A1A2E"/>
          <w:sz w:val="22"/>
          <w:szCs w:val="22"/>
        </w:rPr>
        <w:t xml:space="preserve"> stores permanent, versioned blob content (committed files). S3 object keys are the content_hash values from Table 6.</w:t>
      </w:r>
    </w:p>
    <w:p>
      <w:pPr>
        <w:pStyle w:val="ListParagraph"/>
        <w:numPr>
          <w:ilvl w:val="0"/>
          <w:numId w:val="2"/>
        </w:numPr>
        <w:spacing w:before="60" w:after="60"/>
      </w:pPr>
      <w:r>
        <w:rPr>
          <w:rFonts w:ascii="Arial" w:cs="Arial" w:eastAsia="Arial" w:hAnsi="Arial"/>
          <w:b/>
          <w:bCs/>
          <w:color w:val="1A1A2E"/>
          <w:sz w:val="22"/>
          <w:szCs w:val="22"/>
        </w:rPr>
        <w:t xml:space="preserve">EFS</w:t>
      </w:r>
      <w:r>
        <w:rPr>
          <w:rFonts w:ascii="Arial" w:cs="Arial" w:eastAsia="Arial" w:hAnsi="Arial"/>
          <w:color w:val="1A1A2E"/>
          <w:sz w:val="22"/>
          <w:szCs w:val="22"/>
        </w:rPr>
        <w:t xml:space="preserve"> stores all users’ current in-progress changes (e.g. /mnt/efs/drafts/{user_id}/{repo_id}/). When a user edits a file and presses ‘Save’, the backend writes changes to EFS. All EC2 instances have access to EFS.</w:t>
      </w:r>
    </w:p>
    <w:p>
      <w:pPr>
        <w:pStyle w:val="ListParagraph"/>
        <w:numPr>
          <w:ilvl w:val="0"/>
          <w:numId w:val="2"/>
        </w:numPr>
        <w:spacing w:before="60" w:after="60"/>
      </w:pPr>
      <w:r>
        <w:rPr>
          <w:rFonts w:ascii="Arial" w:cs="Arial" w:eastAsia="Arial" w:hAnsi="Arial"/>
          <w:b/>
          <w:bCs/>
          <w:color w:val="1A1A2E"/>
          <w:sz w:val="22"/>
          <w:szCs w:val="22"/>
        </w:rPr>
        <w:t xml:space="preserve">Local development:</w:t>
      </w:r>
      <w:r>
        <w:rPr>
          <w:rFonts w:ascii="Arial" w:cs="Arial" w:eastAsia="Arial" w:hAnsi="Arial"/>
          <w:color w:val="1A1A2E"/>
          <w:sz w:val="22"/>
          <w:szCs w:val="22"/>
        </w:rPr>
        <w:t xml:space="preserve"> EFS is substituted with bind mounts when running via docker-compose. Both local and production environments interact with real AWS cloud resources — the only difference is container location (local machine vs EKS).</w:t>
      </w:r>
    </w:p>
    <w:p>
      <w:pPr>
        <w:pStyle w:val="Heading2"/>
        <w:spacing w:before="280" w:after="80"/>
      </w:pPr>
      <w:r>
        <w:rPr>
          <w:rFonts w:ascii="Arial" w:cs="Arial" w:eastAsia="Arial" w:hAnsi="Arial"/>
          <w:b/>
          <w:bCs/>
          <w:color w:val="1F4E79"/>
          <w:sz w:val="26"/>
          <w:szCs w:val="26"/>
        </w:rPr>
        <w:t xml:space="preserve">Infrastructure</w:t>
      </w:r>
    </w:p>
    <w:p>
      <w:pPr>
        <w:pStyle w:val="ListParagraph"/>
        <w:numPr>
          <w:ilvl w:val="0"/>
          <w:numId w:val="2"/>
        </w:numPr>
        <w:spacing w:before="60" w:after="60"/>
      </w:pPr>
      <w:r>
        <w:rPr>
          <w:rFonts w:ascii="Arial" w:cs="Arial" w:eastAsia="Arial" w:hAnsi="Arial"/>
          <w:color w:val="1A1A2E"/>
          <w:sz w:val="22"/>
          <w:szCs w:val="22"/>
        </w:rPr>
        <w:t xml:space="preserve">The backend follows the APIRouter pattern and is split into 3 microservices: identity-service, repo-service, and workflow-service.</w:t>
      </w:r>
    </w:p>
    <w:p>
      <w:pPr>
        <w:pStyle w:val="ListParagraph"/>
        <w:numPr>
          <w:ilvl w:val="0"/>
          <w:numId w:val="2"/>
        </w:numPr>
        <w:spacing w:before="60" w:after="60"/>
      </w:pPr>
      <w:r>
        <w:rPr>
          <w:rFonts w:ascii="Arial" w:cs="Arial" w:eastAsia="Arial" w:hAnsi="Arial"/>
          <w:color w:val="1A1A2E"/>
          <w:sz w:val="22"/>
          <w:szCs w:val="22"/>
        </w:rPr>
        <w:t xml:space="preserve">A docker-compose file combines all containers for local development — navigating to localhost shows the full working app.</w:t>
      </w:r>
    </w:p>
    <w:p>
      <w:pPr>
        <w:pStyle w:val="ListParagraph"/>
        <w:numPr>
          <w:ilvl w:val="0"/>
          <w:numId w:val="2"/>
        </w:numPr>
        <w:spacing w:before="60" w:after="60"/>
      </w:pPr>
      <w:r>
        <w:rPr>
          <w:rFonts w:ascii="Arial" w:cs="Arial" w:eastAsia="Arial" w:hAnsi="Arial"/>
          <w:b/>
          <w:bCs/>
          <w:color w:val="1A1A2E"/>
          <w:sz w:val="22"/>
          <w:szCs w:val="22"/>
        </w:rPr>
        <w:t xml:space="preserve">EKS</w:t>
      </w:r>
      <w:r>
        <w:rPr>
          <w:rFonts w:ascii="Arial" w:cs="Arial" w:eastAsia="Arial" w:hAnsi="Arial"/>
          <w:color w:val="1A1A2E"/>
          <w:sz w:val="22"/>
          <w:szCs w:val="22"/>
        </w:rPr>
        <w:t xml:space="preserve"> manages the production application with High Availability, Scalability, and Load Balancing via Cluster Autoscaler/Karpenter, HPA (Horizontal Pod Autoscaler), and the ALB Ingress Controller.</w:t>
      </w:r>
    </w:p>
    <w:p>
      <w:pPr>
        <w:pStyle w:val="ListParagraph"/>
        <w:numPr>
          <w:ilvl w:val="0"/>
          <w:numId w:val="2"/>
        </w:numPr>
        <w:spacing w:before="60" w:after="60"/>
      </w:pPr>
      <w:r>
        <w:rPr>
          <w:rFonts w:ascii="Arial" w:cs="Arial" w:eastAsia="Arial" w:hAnsi="Arial"/>
          <w:b/>
          <w:bCs/>
          <w:color w:val="1A1A2E"/>
          <w:sz w:val="22"/>
          <w:szCs w:val="22"/>
        </w:rPr>
        <w:t xml:space="preserve">Route53</w:t>
      </w:r>
      <w:r>
        <w:rPr>
          <w:rFonts w:ascii="Arial" w:cs="Arial" w:eastAsia="Arial" w:hAnsi="Arial"/>
          <w:color w:val="1A1A2E"/>
          <w:sz w:val="22"/>
          <w:szCs w:val="22"/>
        </w:rPr>
        <w:t xml:space="preserve"> provides a public URL with HTTPS (via ACM) and DNSSEC configured.</w:t>
      </w:r>
    </w:p>
    <w:p>
      <w:pPr>
        <w:pStyle w:val="ListParagraph"/>
        <w:numPr>
          <w:ilvl w:val="0"/>
          <w:numId w:val="2"/>
        </w:numPr>
        <w:spacing w:before="60" w:after="60"/>
      </w:pPr>
      <w:r>
        <w:rPr>
          <w:rFonts w:ascii="Arial" w:cs="Arial" w:eastAsia="Arial" w:hAnsi="Arial"/>
          <w:b/>
          <w:bCs/>
          <w:color w:val="1A1A2E"/>
          <w:sz w:val="22"/>
          <w:szCs w:val="22"/>
        </w:rPr>
        <w:t xml:space="preserve">CloudFront</w:t>
      </w:r>
      <w:r>
        <w:rPr>
          <w:rFonts w:ascii="Arial" w:cs="Arial" w:eastAsia="Arial" w:hAnsi="Arial"/>
          <w:color w:val="1A1A2E"/>
          <w:sz w:val="22"/>
          <w:szCs w:val="22"/>
        </w:rPr>
        <w:t xml:space="preserve"> sits in front of S3 as the sole entry point for file delivery. The S3 bucket is fully private — no direct public access. File URLs are served as CloudFront signed URLs generated using a CloudFront key pair stored in AWS Secrets Manager. The key pair is fetched at service startup and refreshed periodically (every 12 hours) without requiring a pod restart, so running instances never hold a stale key.</w:t>
      </w:r>
    </w:p>
    <w:p>
      <w:pPr>
        <w:pStyle w:val="ListParagraph"/>
        <w:numPr>
          <w:ilvl w:val="0"/>
          <w:numId w:val="2"/>
        </w:numPr>
        <w:spacing w:before="60" w:after="60"/>
      </w:pPr>
      <w:r>
        <w:rPr>
          <w:rFonts w:ascii="Arial" w:cs="Arial" w:eastAsia="Arial" w:hAnsi="Arial"/>
          <w:b/>
          <w:bCs/>
          <w:color w:val="1A1A2E"/>
          <w:sz w:val="22"/>
          <w:szCs w:val="22"/>
        </w:rPr>
        <w:t xml:space="preserve">AWS SES</w:t>
      </w:r>
      <w:r>
        <w:rPr>
          <w:rFonts w:ascii="Arial" w:cs="Arial" w:eastAsia="Arial" w:hAnsi="Arial"/>
          <w:color w:val="1A1A2E"/>
          <w:sz w:val="22"/>
          <w:szCs w:val="22"/>
        </w:rPr>
        <w:t xml:space="preserve"> handles transactional email: invite delivery and commit status notifications (approved or rejected) sent to authors.</w:t>
      </w:r>
    </w:p>
    <w:p>
      <w:pPr>
        <w:pBdr>
          <w:left w:val="single" w:color="22C55E" w:sz="16" w:space="8"/>
        </w:pBdr>
        <w:spacing w:before="140" w:after="40"/>
        <w:ind w:left="180"/>
      </w:pPr>
      <w:r>
        <w:rPr>
          <w:rFonts w:ascii="Arial" w:cs="Arial" w:eastAsia="Arial" w:hAnsi="Arial"/>
          <w:b/>
          <w:bCs/>
          <w:color w:val="14532D"/>
          <w:sz w:val="20"/>
          <w:szCs w:val="20"/>
        </w:rPr>
        <w:t xml:space="preserve">  ✅  Resolved: CloudFront + Signed URLs</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S3 pre-signed URLs bypass CloudFront’s cache entirely. The correct approach is CloudFront signed URLs exclusively. The S3 bucket is fully private; CloudFront is the only access point. The key pair is stored in Secrets Manager and refreshed every 12 hours in-process to avoid stale credentials.</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CloudFront Key Pair Rotation</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Fetching the key pair only at pod startup means long-running pods hold stale credentials after a rotation. The service now schedules an in-process refresh every 12 hours using a background task, replacing the in-memory key pair without a restart. Secrets Manager rotation and the refresh interval should be kept in sync.</w:t>
      </w:r>
    </w:p>
    <w:p>
      <w:pPr>
        <w:spacing w:before="80" w:after="0"/>
      </w:pPr>
      <w:r>
        <w:rPr>
          <w:rFonts w:ascii="Arial" w:cs="Arial" w:eastAsia="Arial" w:hAnsi="Arial"/>
          <w:color w:val="1A1A2E"/>
          <w:sz w:val="22"/>
          <w:szCs w:val="22"/>
        </w:rPr>
        <w:t xml:space="preserve"/>
      </w:r>
    </w:p>
    <w:p>
      <w:pPr>
        <w:pBdr>
          <w:left w:val="single" w:color="3B82F6" w:sz="16" w:space="8"/>
        </w:pBdr>
        <w:spacing w:before="140" w:after="40"/>
        <w:ind w:left="180"/>
      </w:pPr>
      <w:r>
        <w:rPr>
          <w:rFonts w:ascii="Arial" w:cs="Arial" w:eastAsia="Arial" w:hAnsi="Arial"/>
          <w:b/>
          <w:bCs/>
          <w:color w:val="1E3A5F"/>
          <w:sz w:val="20"/>
          <w:szCs w:val="20"/>
        </w:rPr>
        <w:t xml:space="preserve">  💡  Logical Gap Resolved: Notification System</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AWS SES now handles two notification types in addition to invite emails:</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Commit approved — author receives an email when their commit is approved and becomes the new head.</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Commit rejected — author receives an email containing the reviewer’s comment so they can act without having to check the app manually.</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These are triggered by Workflow-Service immediately after the approval transaction commits.</w:t>
      </w:r>
    </w:p>
    <w:p>
      <w:pPr>
        <w:spacing w:before="80" w:after="0"/>
      </w:pPr>
      <w:r>
        <w:rPr>
          <w:rFonts w:ascii="Arial" w:cs="Arial" w:eastAsia="Arial" w:hAnsi="Arial"/>
          <w:color w:val="1A1A2E"/>
          <w:sz w:val="22"/>
          <w:szCs w:val="22"/>
        </w:rPr>
        <w:t xml:space="preserve"/>
      </w:r>
    </w:p>
    <w:p>
      <w:pPr>
        <w:pStyle w:val="Heading1"/>
        <w:spacing w:before="420" w:after="120"/>
      </w:pPr>
      <w:r>
        <w:rPr>
          <w:rFonts w:ascii="Arial" w:cs="Arial" w:eastAsia="Arial" w:hAnsi="Arial"/>
          <w:b/>
          <w:bCs/>
          <w:color w:val="2E5FA3"/>
          <w:sz w:val="32"/>
          <w:szCs w:val="32"/>
        </w:rPr>
        <w:t xml:space="preserve">2. Microservice Responsibility Split</w:t>
      </w:r>
    </w:p>
    <w:p>
      <w:pPr>
        <w:pStyle w:val="Heading2"/>
        <w:spacing w:before="280" w:after="80"/>
      </w:pPr>
      <w:r>
        <w:rPr>
          <w:rFonts w:ascii="Arial" w:cs="Arial" w:eastAsia="Arial" w:hAnsi="Arial"/>
          <w:b/>
          <w:bCs/>
          <w:color w:val="1F4E79"/>
          <w:sz w:val="26"/>
          <w:szCs w:val="26"/>
        </w:rPr>
        <w:t xml:space="preserve">2.1  Identity-Service (The Gatekeeper)</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Authoritative source for User Identity and Repo Permissions. Acts as the bridge to AWS Cognito and manages JWT issuance. Utilizes Cognito Post-Confirmation Triggers to ensure Table 1 (Associations) remains the source of truth for repository access.</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Key Endpoints</w:t>
      </w:r>
    </w:p>
    <w:p>
      <w:pPr>
        <w:pStyle w:val="ListParagraph"/>
        <w:numPr>
          <w:ilvl w:val="0"/>
          <w:numId w:val="2"/>
        </w:numPr>
        <w:spacing w:before="60" w:after="60"/>
      </w:pPr>
      <w:r>
        <w:rPr>
          <w:rFonts w:ascii="Arial" w:cs="Arial" w:eastAsia="Arial" w:hAnsi="Arial"/>
          <w:color w:val="1A1A2E"/>
          <w:sz w:val="22"/>
          <w:szCs w:val="22"/>
        </w:rPr>
        <w:t xml:space="preserve">POST /v1/auth/register — Orchestrates user creation in Cognito and initializes metadata.</w:t>
      </w:r>
    </w:p>
    <w:p>
      <w:pPr>
        <w:pStyle w:val="ListParagraph"/>
        <w:numPr>
          <w:ilvl w:val="0"/>
          <w:numId w:val="2"/>
        </w:numPr>
        <w:spacing w:before="60" w:after="60"/>
      </w:pPr>
      <w:r>
        <w:rPr>
          <w:rFonts w:ascii="Arial" w:cs="Arial" w:eastAsia="Arial" w:hAnsi="Arial"/>
          <w:b/>
          <w:bCs/>
          <w:color w:val="1A1A2E"/>
          <w:sz w:val="22"/>
          <w:szCs w:val="22"/>
        </w:rPr>
        <w:t xml:space="preserve">POST /v1/auth/login</w:t>
      </w:r>
      <w:r>
        <w:rPr>
          <w:rFonts w:ascii="Arial" w:cs="Arial" w:eastAsia="Arial" w:hAnsi="Arial"/>
          <w:color w:val="1A1A2E"/>
          <w:sz w:val="22"/>
          <w:szCs w:val="22"/>
        </w:rPr>
        <w:t xml:space="preserve"> — Issues the JWT Passport. The payload contains only user_id and a repo_count hint (not a full role map) to keep the token lightweight.</w:t>
      </w:r>
    </w:p>
    <w:p>
      <w:pPr>
        <w:pStyle w:val="ListParagraph"/>
        <w:numPr>
          <w:ilvl w:val="0"/>
          <w:numId w:val="2"/>
        </w:numPr>
        <w:spacing w:before="60" w:after="60"/>
      </w:pPr>
      <w:r>
        <w:rPr>
          <w:rFonts w:ascii="Arial" w:cs="Arial" w:eastAsia="Arial" w:hAnsi="Arial"/>
          <w:color w:val="1A1A2E"/>
          <w:sz w:val="22"/>
          <w:szCs w:val="22"/>
        </w:rPr>
        <w:t xml:space="preserve">POST /v1/auth/refresh — Rotates short-lived access tokens using Cognito refresh tokens.</w:t>
      </w:r>
    </w:p>
    <w:p>
      <w:pPr>
        <w:pStyle w:val="ListParagraph"/>
        <w:numPr>
          <w:ilvl w:val="0"/>
          <w:numId w:val="2"/>
        </w:numPr>
        <w:spacing w:before="60" w:after="60"/>
      </w:pPr>
      <w:r>
        <w:rPr>
          <w:rFonts w:ascii="Arial" w:cs="Arial" w:eastAsia="Arial" w:hAnsi="Arial"/>
          <w:color w:val="1A1A2E"/>
          <w:sz w:val="22"/>
          <w:szCs w:val="22"/>
        </w:rPr>
        <w:t xml:space="preserve">GET /v1/users/me/repos — Queries Table 1 to provide the dashboard with the user’s accessible repositories.</w:t>
      </w:r>
    </w:p>
    <w:p>
      <w:pPr>
        <w:pStyle w:val="ListParagraph"/>
        <w:numPr>
          <w:ilvl w:val="0"/>
          <w:numId w:val="2"/>
        </w:numPr>
        <w:spacing w:before="60" w:after="60"/>
      </w:pPr>
      <w:r>
        <w:rPr>
          <w:rFonts w:ascii="Arial" w:cs="Arial" w:eastAsia="Arial" w:hAnsi="Arial"/>
          <w:color w:val="1A1A2E"/>
          <w:sz w:val="22"/>
          <w:szCs w:val="22"/>
        </w:rPr>
        <w:t xml:space="preserve">POST /v1/repos/{id}/invites — Generates a cryptographically secure token with a 72-hour TTL, writes it to Table 7, and triggers AWS SES for email delivery.</w:t>
      </w:r>
    </w:p>
    <w:p>
      <w:pPr>
        <w:pStyle w:val="ListParagraph"/>
        <w:numPr>
          <w:ilvl w:val="0"/>
          <w:numId w:val="2"/>
        </w:numPr>
        <w:spacing w:before="60" w:after="60"/>
      </w:pPr>
      <w:r>
        <w:rPr>
          <w:rFonts w:ascii="Arial" w:cs="Arial" w:eastAsia="Arial" w:hAnsi="Arial"/>
          <w:color w:val="1A1A2E"/>
          <w:sz w:val="22"/>
          <w:szCs w:val="22"/>
        </w:rPr>
        <w:t xml:space="preserve">POST /v1/invites/accept/{token} — Validates the invite token, checks expiry against Table 7, and writes the new association to Table 1. Returns 410 Gone for expired tokens.</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POST /v1/internal/memberships — Synchronous endpoint used by Workflow-Service to assign “Admin” to a user upon repo creation.</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GET /v1/internal/repos/{id}/role?user_id={uid} — Called by downstream services on the first request to a protected repo endpoint. Returns the role for that specific user/repo pair. The calling service caches the result in-memory with a TTL matching the JWT expiry so the lookup is only done once per session per repo.</w:t>
      </w:r>
    </w:p>
    <w:p>
      <w:pPr>
        <w:pBdr>
          <w:left w:val="single" w:color="22C55E" w:sz="16" w:space="8"/>
        </w:pBdr>
        <w:spacing w:before="140" w:after="40"/>
        <w:ind w:left="180"/>
      </w:pPr>
      <w:r>
        <w:rPr>
          <w:rFonts w:ascii="Arial" w:cs="Arial" w:eastAsia="Arial" w:hAnsi="Arial"/>
          <w:b/>
          <w:bCs/>
          <w:color w:val="14532D"/>
          <w:sz w:val="20"/>
          <w:szCs w:val="20"/>
        </w:rPr>
        <w:t xml:space="preserve">  ✅  Resolved: JWT Payload Size</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The JWT now contains only user_id and a repo_count hint. Role resolution is lazy: on the first request to a protected endpoint, the service calls GET /v1/internal/repos/{id}/role, then caches the result in-memory for the remainder of the session. The token never bloats regardless of how many repositories the user joins.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2.2  Repo-Service (The IO Hub)</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The “Overlay File System.” Manages the intersection of transient drafts (EFS/Bind Mounts) and permanent versioned data (S3). Utilizes asynchronous workers for heavy I/O tasks to keep the online IDE responsive.</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Key Endpoints</w:t>
      </w:r>
    </w:p>
    <w:p>
      <w:pPr>
        <w:pStyle w:val="ListParagraph"/>
        <w:numPr>
          <w:ilvl w:val="0"/>
          <w:numId w:val="2"/>
        </w:numPr>
        <w:spacing w:before="60" w:after="60"/>
      </w:pPr>
      <w:r>
        <w:rPr>
          <w:rFonts w:ascii="Arial" w:cs="Arial" w:eastAsia="Arial" w:hAnsi="Arial"/>
          <w:b/>
          <w:bCs/>
          <w:color w:val="1A1A2E"/>
          <w:sz w:val="22"/>
          <w:szCs w:val="22"/>
        </w:rPr>
        <w:t xml:space="preserve">GET /v1/repos/{id}/explorer?mode={view|edit}</w:t>
      </w:r>
      <w:r>
        <w:rPr>
          <w:rFonts w:ascii="Arial" w:cs="Arial" w:eastAsia="Arial" w:hAnsi="Arial"/>
          <w:color w:val="1A1A2E"/>
          <w:sz w:val="22"/>
          <w:szCs w:val="22"/>
        </w:rPr>
        <w:t xml:space="preserve"> — Returns a merged directory tree. In view mode, provides CloudFront signed URLs for files. In edit mode, prioritizes files found in the DRAFT_STORAGE_PATH (EFS/Bind Mount). Binary files (.png, .jpg, .pdf) are flagged with is_binary: true so the frontend renders a download link rather than attempt a text diff.</w:t>
      </w:r>
    </w:p>
    <w:p>
      <w:pPr>
        <w:pStyle w:val="ListParagraph"/>
        <w:numPr>
          <w:ilvl w:val="0"/>
          <w:numId w:val="2"/>
        </w:numPr>
        <w:spacing w:before="60" w:after="60"/>
      </w:pPr>
      <w:r>
        <w:rPr>
          <w:rFonts w:ascii="Arial" w:cs="Arial" w:eastAsia="Arial" w:hAnsi="Arial"/>
          <w:color w:val="1A1A2E"/>
          <w:sz w:val="22"/>
          <w:szCs w:val="22"/>
        </w:rPr>
        <w:t xml:space="preserve">POST /v1/repos/{id}/drafts/save — Writes IDE text changes directly to the EFS draft path using non-blocking I/O.</w:t>
      </w:r>
    </w:p>
    <w:p>
      <w:pPr>
        <w:pStyle w:val="ListParagraph"/>
        <w:numPr>
          <w:ilvl w:val="0"/>
          <w:numId w:val="2"/>
        </w:numPr>
        <w:spacing w:before="60" w:after="60"/>
      </w:pPr>
      <w:r>
        <w:rPr>
          <w:rFonts w:ascii="Arial" w:cs="Arial" w:eastAsia="Arial" w:hAnsi="Arial"/>
          <w:color w:val="1A1A2E"/>
          <w:sz w:val="22"/>
          <w:szCs w:val="22"/>
        </w:rPr>
        <w:t xml:space="preserve">POST /v1/repos/{id}/drafts/upload — Handles multipart binary uploads (images, PDFs) to the draft folder.</w:t>
      </w:r>
    </w:p>
    <w:p>
      <w:pPr>
        <w:pStyle w:val="ListParagraph"/>
        <w:numPr>
          <w:ilvl w:val="0"/>
          <w:numId w:val="2"/>
        </w:numPr>
        <w:spacing w:before="60" w:after="60"/>
      </w:pPr>
      <w:r>
        <w:rPr>
          <w:rFonts w:ascii="Arial" w:cs="Arial" w:eastAsia="Arial" w:hAnsi="Arial"/>
          <w:color w:val="1A1A2E"/>
          <w:sz w:val="22"/>
          <w:szCs w:val="22"/>
        </w:rPr>
        <w:t xml:space="preserve">GET /v1/repos/{id}/archive — Returns 202 Accepted with a task_id. An internal worker zips the current hybrid state and uploads it to a temporary S3 location. The frontend polls the task endpoint and shows a progress indicator until the ZIP is ready or an error is returned.</w:t>
      </w:r>
    </w:p>
    <w:p>
      <w:pPr>
        <w:pStyle w:val="ListParagraph"/>
        <w:numPr>
          <w:ilvl w:val="0"/>
          <w:numId w:val="2"/>
        </w:numPr>
        <w:spacing w:before="60" w:after="60"/>
      </w:pPr>
      <w:r>
        <w:rPr>
          <w:rFonts w:ascii="Arial" w:cs="Arial" w:eastAsia="Arial" w:hAnsi="Arial"/>
          <w:color w:val="1A1A2E"/>
          <w:sz w:val="22"/>
          <w:szCs w:val="22"/>
        </w:rPr>
        <w:t xml:space="preserve">GET /v1/repos/{id}/tasks/{task_id} — Polling endpoint for the frontend to track ZIP generation or S3 sync status. Returns one of: pending, complete (with a download URL), or failed (with an error message).</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POST /v1/internal/sync-blobs — Initiates transfer of draft files to permanent S3 storage. For each file, checks Table 6 for an existing content_hash before uploading; skips upload if already present. Returns resulting content_hashes to Workflow-Service.</w:t>
      </w:r>
    </w:p>
    <w:p>
      <w:pPr>
        <w:pStyle w:val="ListParagraph"/>
        <w:numPr>
          <w:ilvl w:val="0"/>
          <w:numId w:val="2"/>
        </w:numPr>
        <w:spacing w:before="60" w:after="60"/>
      </w:pPr>
      <w:r>
        <w:rPr>
          <w:rFonts w:ascii="Arial" w:cs="Arial" w:eastAsia="Arial" w:hAnsi="Arial"/>
          <w:b/>
          <w:bCs/>
          <w:color w:val="1A1A2E"/>
          <w:sz w:val="22"/>
          <w:szCs w:val="22"/>
        </w:rPr>
        <w:t xml:space="preserve">Internal Cleanup:</w:t>
      </w:r>
      <w:r>
        <w:rPr>
          <w:rFonts w:ascii="Arial" w:cs="Arial" w:eastAsia="Arial" w:hAnsi="Arial"/>
          <w:color w:val="1A1A2E"/>
          <w:sz w:val="22"/>
          <w:szCs w:val="22"/>
        </w:rPr>
        <w:t xml:space="preserve"> DELETE /v1/internal/drafts/{user_id}/{repo_id} — Consumes an AWS SQS message to wipe the EFS draft folder after a successful commit approval.</w:t>
      </w:r>
    </w:p>
    <w:p>
      <w:pPr>
        <w:pStyle w:val="ListParagraph"/>
        <w:numPr>
          <w:ilvl w:val="0"/>
          <w:numId w:val="2"/>
        </w:numPr>
        <w:spacing w:before="60" w:after="60"/>
      </w:pPr>
      <w:r>
        <w:rPr>
          <w:rFonts w:ascii="Arial" w:cs="Arial" w:eastAsia="Arial" w:hAnsi="Arial"/>
          <w:b/>
          <w:bCs/>
          <w:color w:val="1A1A2E"/>
          <w:sz w:val="22"/>
          <w:szCs w:val="22"/>
        </w:rPr>
        <w:t xml:space="preserve">GET /v1/repos/{id}/conflicts?base={hash}&amp;head={hash}&amp;user_id={uid}</w:t>
      </w:r>
      <w:r>
        <w:rPr>
          <w:rFonts w:ascii="Arial" w:cs="Arial" w:eastAsia="Arial" w:hAnsi="Arial"/>
          <w:color w:val="1A1A2E"/>
          <w:sz w:val="22"/>
          <w:szCs w:val="22"/>
        </w:rPr>
        <w:t xml:space="preserve"> — Compares the author’s EFS draft against both the old parent commit and the newly approved head. Returns a per-file classification: no_conflict, conflict, added_in_head, or deleted_in_head. Used exclusively by the Conflict Review Screen.</w:t>
      </w:r>
    </w:p>
    <w:p>
      <w:pPr>
        <w:pBdr>
          <w:left w:val="single" w:color="22C55E" w:sz="16" w:space="8"/>
        </w:pBdr>
        <w:spacing w:before="140" w:after="40"/>
        <w:ind w:left="180"/>
      </w:pPr>
      <w:r>
        <w:rPr>
          <w:rFonts w:ascii="Arial" w:cs="Arial" w:eastAsia="Arial" w:hAnsi="Arial"/>
          <w:b/>
          <w:bCs/>
          <w:color w:val="14532D"/>
          <w:sz w:val="20"/>
          <w:szCs w:val="20"/>
        </w:rPr>
        <w:t xml:space="preserve">  ✅  Resolved: SQS Everywhere (Redis Dropped)</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AWS SQS is used in both local and production environments. Locally, authenticate via AWS_ACCESS_KEY_ID / AWS_SECRET_ACCESS_KEY in docker-compose.yml. In production, EKS pods receive permissions via IRSA (IAM Roles for Service Accounts). The SQS consumer code is identical in both environments — no Redis, no dual code paths.</w:t>
      </w:r>
    </w:p>
    <w:p>
      <w:pPr>
        <w:spacing w:before="80" w:after="0"/>
      </w:pPr>
      <w:r>
        <w:rPr>
          <w:rFonts w:ascii="Arial" w:cs="Arial" w:eastAsia="Arial" w:hAnsi="Arial"/>
          <w:color w:val="1A1A2E"/>
          <w:sz w:val="22"/>
          <w:szCs w:val="22"/>
        </w:rPr>
        <w:t xml:space="preserve"/>
      </w:r>
    </w:p>
    <w:p>
      <w:pPr>
        <w:pBdr>
          <w:left w:val="single" w:color="3B82F6" w:sz="16" w:space="8"/>
        </w:pBdr>
        <w:spacing w:before="140" w:after="40"/>
        <w:ind w:left="180"/>
      </w:pPr>
      <w:r>
        <w:rPr>
          <w:rFonts w:ascii="Arial" w:cs="Arial" w:eastAsia="Arial" w:hAnsi="Arial"/>
          <w:b/>
          <w:bCs/>
          <w:color w:val="1E3A5F"/>
          <w:sz w:val="20"/>
          <w:szCs w:val="20"/>
        </w:rPr>
        <w:t xml:space="preserve">  💡  Logical Gap Resolved: Archive Download Feedback</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The archive endpoint now returns a task_id immediately (202 Accepted). The frontend displays a progress indicator while polling GET /v1/repos/{id}/tasks/{task_id}. On success, the download link is presented. On failure, a descriptive error message is shown. The user is never left with a stalled UI.</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Binary File Diff</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The explorer endpoint now flags binary files with is_binary: true. The reviewer UI uses this flag to show a “Binary file changed” label with a before/after download option rather than attempting a text diff, which would be meaningless for images or PDFs.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2.3  Workflow-Service (The Logic Engine)</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The “Git” State Machine. Manages relational metadata (Tables 2, 3, 4, 5, and 6) and orchestrates the lifecycle of a commit from “Pending” to “Approved/Rejected.”</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Key Endpoints</w:t>
      </w:r>
    </w:p>
    <w:p>
      <w:pPr>
        <w:pStyle w:val="ListParagraph"/>
        <w:numPr>
          <w:ilvl w:val="0"/>
          <w:numId w:val="2"/>
        </w:numPr>
        <w:spacing w:before="60" w:after="60"/>
      </w:pPr>
      <w:r>
        <w:rPr>
          <w:rFonts w:ascii="Arial" w:cs="Arial" w:eastAsia="Arial" w:hAnsi="Arial"/>
          <w:b/>
          <w:bCs/>
          <w:color w:val="1A1A2E"/>
          <w:sz w:val="22"/>
          <w:szCs w:val="22"/>
        </w:rPr>
        <w:t xml:space="preserve">POST /v1/repos/create</w:t>
      </w:r>
      <w:r>
        <w:rPr>
          <w:rFonts w:ascii="Arial" w:cs="Arial" w:eastAsia="Arial" w:hAnsi="Arial"/>
          <w:color w:val="1A1A2E"/>
          <w:sz w:val="22"/>
          <w:szCs w:val="22"/>
        </w:rPr>
        <w:t xml:space="preserve"> — Atomic Logic: Initializes Table 2 (Metadata) and calls Identity-Service to assign Admin rights. If the downstream call fails, it rolls back the database record to prevent orphaned repos.</w:t>
      </w:r>
    </w:p>
    <w:p>
      <w:pPr>
        <w:pStyle w:val="ListParagraph"/>
        <w:numPr>
          <w:ilvl w:val="0"/>
          <w:numId w:val="2"/>
        </w:numPr>
        <w:spacing w:before="60" w:after="60"/>
      </w:pPr>
      <w:r>
        <w:rPr>
          <w:rFonts w:ascii="Arial" w:cs="Arial" w:eastAsia="Arial" w:hAnsi="Arial"/>
          <w:color w:val="1A1A2E"/>
          <w:sz w:val="22"/>
          <w:szCs w:val="22"/>
        </w:rPr>
        <w:t xml:space="preserve">POST /v1/repos/{id}/commits — Orchestrates the commit process by calling sync-blobs in Repo-Service, then calculating the tree_hash to write new records in Tables 3, 4, and 6. Returns the new commit_hash and its initial status of pending.</w:t>
      </w:r>
    </w:p>
    <w:p>
      <w:pPr>
        <w:pStyle w:val="ListParagraph"/>
        <w:numPr>
          <w:ilvl w:val="0"/>
          <w:numId w:val="2"/>
        </w:numPr>
        <w:spacing w:before="60" w:after="60"/>
      </w:pPr>
      <w:r>
        <w:rPr>
          <w:rFonts w:ascii="Arial" w:cs="Arial" w:eastAsia="Arial" w:hAnsi="Arial"/>
          <w:color w:val="1A1A2E"/>
          <w:sz w:val="22"/>
          <w:szCs w:val="22"/>
        </w:rPr>
        <w:t xml:space="preserve">GET /v1/commits/{hash}/diff — Compares the tree_hash of the proposed commit against its parent_commit_hash. Text files return a line-by-line diff; binary files return a metadata summary (name, size change, MIME type) with before/after CloudFront signed URLs.</w:t>
      </w:r>
    </w:p>
    <w:p>
      <w:pPr>
        <w:pStyle w:val="ListParagraph"/>
        <w:numPr>
          <w:ilvl w:val="0"/>
          <w:numId w:val="2"/>
        </w:numPr>
        <w:spacing w:before="60" w:after="60"/>
      </w:pPr>
      <w:r>
        <w:rPr>
          <w:rFonts w:ascii="Arial" w:cs="Arial" w:eastAsia="Arial" w:hAnsi="Arial"/>
          <w:b/>
          <w:bCs/>
          <w:color w:val="1A1A2E"/>
          <w:sz w:val="22"/>
          <w:szCs w:val="22"/>
        </w:rPr>
        <w:t xml:space="preserve">POST /v1/commits/{hash}/approve</w:t>
      </w:r>
      <w:r>
        <w:rPr>
          <w:rFonts w:ascii="Arial" w:cs="Arial" w:eastAsia="Arial" w:hAnsi="Arial"/>
          <w:color w:val="1A1A2E"/>
          <w:sz w:val="22"/>
          <w:szCs w:val="22"/>
        </w:rPr>
        <w:t xml:space="preserve"> — Uses Optimistic Locking on Table 2 to ensure only one “Head” can exist. Approves the hash, rejects all siblings with the same parent, updates the repository’s latest_hash, pushes a cleanup event to AWS SQS for Repo-Service, and triggers SES notifications to all affected authors.</w:t>
      </w:r>
    </w:p>
    <w:p>
      <w:pPr>
        <w:pStyle w:val="ListParagraph"/>
        <w:numPr>
          <w:ilvl w:val="0"/>
          <w:numId w:val="2"/>
        </w:numPr>
        <w:spacing w:before="60" w:after="60"/>
      </w:pPr>
      <w:r>
        <w:rPr>
          <w:rFonts w:ascii="Arial" w:cs="Arial" w:eastAsia="Arial" w:hAnsi="Arial"/>
          <w:b/>
          <w:bCs/>
          <w:color w:val="1A1A2E"/>
          <w:sz w:val="22"/>
          <w:szCs w:val="22"/>
        </w:rPr>
        <w:t xml:space="preserve">POST /v1/commits/{hash}/reject</w:t>
      </w:r>
      <w:r>
        <w:rPr>
          <w:rFonts w:ascii="Arial" w:cs="Arial" w:eastAsia="Arial" w:hAnsi="Arial"/>
          <w:color w:val="1A1A2E"/>
          <w:sz w:val="22"/>
          <w:szCs w:val="22"/>
        </w:rPr>
        <w:t xml:space="preserve"> — Marks the commit as rejected and stores the reviewer’s comment in Table 5. Triggers an SES notification to the author with the rejection reason.</w:t>
      </w:r>
    </w:p>
    <w:p>
      <w:pPr>
        <w:pStyle w:val="ListParagraph"/>
        <w:numPr>
          <w:ilvl w:val="0"/>
          <w:numId w:val="2"/>
        </w:numPr>
        <w:spacing w:before="60" w:after="60"/>
      </w:pPr>
      <w:r>
        <w:rPr>
          <w:rFonts w:ascii="Arial" w:cs="Arial" w:eastAsia="Arial" w:hAnsi="Arial"/>
          <w:color w:val="1A1A2E"/>
          <w:sz w:val="22"/>
          <w:szCs w:val="22"/>
        </w:rPr>
        <w:t xml:space="preserve">GET /v1/repos/{id}/history — Returns a linearized timeline of approved and rejected commits from Table 5, including reviewer comments on rejected entries.</w:t>
      </w:r>
    </w:p>
    <w:p>
      <w:pPr>
        <w:pStyle w:val="ListParagraph"/>
        <w:numPr>
          <w:ilvl w:val="0"/>
          <w:numId w:val="2"/>
        </w:numPr>
        <w:spacing w:before="60" w:after="60"/>
      </w:pPr>
      <w:r>
        <w:rPr>
          <w:rFonts w:ascii="Arial" w:cs="Arial" w:eastAsia="Arial" w:hAnsi="Arial"/>
          <w:b/>
          <w:bCs/>
          <w:color w:val="1A1A2E"/>
          <w:sz w:val="22"/>
          <w:szCs w:val="22"/>
        </w:rPr>
        <w:t xml:space="preserve">DELETE /v1/repos/{id}</w:t>
      </w:r>
      <w:r>
        <w:rPr>
          <w:rFonts w:ascii="Arial" w:cs="Arial" w:eastAsia="Arial" w:hAnsi="Arial"/>
          <w:color w:val="1A1A2E"/>
          <w:sz w:val="22"/>
          <w:szCs w:val="22"/>
        </w:rPr>
        <w:t xml:space="preserve"> — Admin-only. Performs a cascading cleanup: marks all pending commits as cancelled, invalidates all open invite tokens in Table 7, deletes all rows in Tables 3, 4, 5 associated with the repo, removes Table 2 metadata, and publishes an SQS message for Repo-Service to delete the EFS draft folder. The Table 1 associations are also removed so the repo no longer appears on any user’s dashboard.</w:t>
      </w:r>
    </w:p>
    <w:p>
      <w:pPr>
        <w:pBdr>
          <w:left w:val="single" w:color="22C55E" w:sz="16" w:space="8"/>
        </w:pBdr>
        <w:spacing w:before="140" w:after="40"/>
        <w:ind w:left="180"/>
      </w:pPr>
      <w:r>
        <w:rPr>
          <w:rFonts w:ascii="Arial" w:cs="Arial" w:eastAsia="Arial" w:hAnsi="Arial"/>
          <w:b/>
          <w:bCs/>
          <w:color w:val="14532D"/>
          <w:sz w:val="20"/>
          <w:szCs w:val="20"/>
        </w:rPr>
        <w:t xml:space="preserve">  ✅  Resolved: Reviewer Concurrency (Atomic Sibling Rejection)</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The approval and sibling rejection are a single atomic database transaction:</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1. SELECT the commit row with optimistic lock version check</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2. UPDATE this commit → status = ‘approved’</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3. UPDATE all rows WHERE parent_commit_hash = same AND hash != this → status = ‘rejected’</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4. UPDATE Table 2 latest_commit_hash WHERE version = expected_version</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5. If any step fails → ROLLBACK, return 409 Conflict</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Steps 2, 3, and 4 are one atomic unit managed by a SQLModel/SQLAlchemy session context manager. Two simultaneous approvals cannot both succeed.</w:t>
      </w:r>
    </w:p>
    <w:p>
      <w:pPr>
        <w:spacing w:before="80" w:after="0"/>
      </w:pPr>
      <w:r>
        <w:rPr>
          <w:rFonts w:ascii="Arial" w:cs="Arial" w:eastAsia="Arial" w:hAnsi="Arial"/>
          <w:color w:val="1A1A2E"/>
          <w:sz w:val="22"/>
          <w:szCs w:val="22"/>
        </w:rPr>
        <w:t xml:space="preserve"/>
      </w:r>
    </w:p>
    <w:p>
      <w:pPr>
        <w:pBdr>
          <w:left w:val="single" w:color="3B82F6" w:sz="16" w:space="8"/>
        </w:pBdr>
        <w:spacing w:before="140" w:after="40"/>
        <w:ind w:left="180"/>
      </w:pPr>
      <w:r>
        <w:rPr>
          <w:rFonts w:ascii="Arial" w:cs="Arial" w:eastAsia="Arial" w:hAnsi="Arial"/>
          <w:b/>
          <w:bCs/>
          <w:color w:val="1E3A5F"/>
          <w:sz w:val="20"/>
          <w:szCs w:val="20"/>
        </w:rPr>
        <w:t xml:space="preserve">  💡  Logical Gap Resolved: Repository Deletion</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Admins can now delete a repository via DELETE /v1/repos/{id}. The deletion cascades cleanly: pending commits are cancelled, invite tokens are invalidated, all relational rows are removed, EFS drafts are queued for deletion via SQS, and the repo is removed from all members’ dashboards. This prevents orphaned data in any table or storage layer.</w:t>
      </w:r>
    </w:p>
    <w:p>
      <w:pPr>
        <w:spacing w:before="80" w:after="0"/>
      </w:pPr>
      <w:r>
        <w:rPr>
          <w:rFonts w:ascii="Arial" w:cs="Arial" w:eastAsia="Arial" w:hAnsi="Arial"/>
          <w:color w:val="1A1A2E"/>
          <w:sz w:val="22"/>
          <w:szCs w:val="22"/>
        </w:rPr>
        <w:t xml:space="preserve"/>
      </w:r>
    </w:p>
    <w:p>
      <w:pPr>
        <w:pStyle w:val="Heading1"/>
        <w:spacing w:before="420" w:after="120"/>
      </w:pPr>
      <w:r>
        <w:rPr>
          <w:rFonts w:ascii="Arial" w:cs="Arial" w:eastAsia="Arial" w:hAnsi="Arial"/>
          <w:b/>
          <w:bCs/>
          <w:color w:val="2E5FA3"/>
          <w:sz w:val="32"/>
          <w:szCs w:val="32"/>
        </w:rPr>
        <w:t xml:space="preserve">3. AWS Well-Architected Framework: Six Pillars</w:t>
      </w:r>
    </w:p>
    <w:p>
      <w:pPr>
        <w:spacing w:before="60" w:after="60"/>
      </w:pPr>
      <w:r>
        <w:rPr>
          <w:rFonts w:ascii="Arial" w:cs="Arial" w:eastAsia="Arial" w:hAnsi="Arial"/>
          <w:color w:val="1A1A2E"/>
          <w:sz w:val="22"/>
          <w:szCs w:val="22"/>
        </w:rPr>
        <w:t xml:space="preserve">The following principles serve as the architectural compass for this project. Every design decision should be evaluated against these pillars before implementation.</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Operational Excellence</w:t>
      </w:r>
    </w:p>
    <w:p>
      <w:pPr>
        <w:spacing w:before="60" w:after="60"/>
      </w:pPr>
      <w:r>
        <w:rPr>
          <w:rFonts w:ascii="Arial" w:cs="Arial" w:eastAsia="Arial" w:hAnsi="Arial"/>
          <w:i/>
          <w:iCs/>
          <w:color w:val="555555"/>
          <w:sz w:val="22"/>
          <w:szCs w:val="22"/>
        </w:rPr>
        <w:t xml:space="preserve">Focuses on running systems effectively, gaining insight into operations, and continuously improving processes.</w:t>
      </w:r>
    </w:p>
    <w:p>
      <w:pPr>
        <w:pStyle w:val="ListParagraph"/>
        <w:numPr>
          <w:ilvl w:val="0"/>
          <w:numId w:val="2"/>
        </w:numPr>
        <w:spacing w:before="60" w:after="60"/>
      </w:pPr>
      <w:r>
        <w:rPr>
          <w:rFonts w:ascii="Arial" w:cs="Arial" w:eastAsia="Arial" w:hAnsi="Arial"/>
          <w:color w:val="1A1A2E"/>
          <w:sz w:val="22"/>
          <w:szCs w:val="22"/>
        </w:rPr>
        <w:t xml:space="preserve">Perform operations as code</w:t>
      </w:r>
    </w:p>
    <w:p>
      <w:pPr>
        <w:pStyle w:val="ListParagraph"/>
        <w:numPr>
          <w:ilvl w:val="0"/>
          <w:numId w:val="2"/>
        </w:numPr>
        <w:spacing w:before="60" w:after="60"/>
      </w:pPr>
      <w:r>
        <w:rPr>
          <w:rFonts w:ascii="Arial" w:cs="Arial" w:eastAsia="Arial" w:hAnsi="Arial"/>
          <w:color w:val="1A1A2E"/>
          <w:sz w:val="22"/>
          <w:szCs w:val="22"/>
        </w:rPr>
        <w:t xml:space="preserve">Make frequent, small, reversible changes</w:t>
      </w:r>
    </w:p>
    <w:p>
      <w:pPr>
        <w:pStyle w:val="ListParagraph"/>
        <w:numPr>
          <w:ilvl w:val="0"/>
          <w:numId w:val="2"/>
        </w:numPr>
        <w:spacing w:before="60" w:after="60"/>
      </w:pPr>
      <w:r>
        <w:rPr>
          <w:rFonts w:ascii="Arial" w:cs="Arial" w:eastAsia="Arial" w:hAnsi="Arial"/>
          <w:color w:val="1A1A2E"/>
          <w:sz w:val="22"/>
          <w:szCs w:val="22"/>
        </w:rPr>
        <w:t xml:space="preserve">Refine procedures frequently</w:t>
      </w:r>
    </w:p>
    <w:p>
      <w:pPr>
        <w:pStyle w:val="ListParagraph"/>
        <w:numPr>
          <w:ilvl w:val="0"/>
          <w:numId w:val="2"/>
        </w:numPr>
        <w:spacing w:before="60" w:after="60"/>
      </w:pPr>
      <w:r>
        <w:rPr>
          <w:rFonts w:ascii="Arial" w:cs="Arial" w:eastAsia="Arial" w:hAnsi="Arial"/>
          <w:color w:val="1A1A2E"/>
          <w:sz w:val="22"/>
          <w:szCs w:val="22"/>
        </w:rPr>
        <w:t xml:space="preserve">Anticipate failure</w:t>
      </w:r>
    </w:p>
    <w:p>
      <w:pPr>
        <w:pStyle w:val="ListParagraph"/>
        <w:numPr>
          <w:ilvl w:val="0"/>
          <w:numId w:val="2"/>
        </w:numPr>
        <w:spacing w:before="60" w:after="60"/>
      </w:pPr>
      <w:r>
        <w:rPr>
          <w:rFonts w:ascii="Arial" w:cs="Arial" w:eastAsia="Arial" w:hAnsi="Arial"/>
          <w:color w:val="1A1A2E"/>
          <w:sz w:val="22"/>
          <w:szCs w:val="22"/>
        </w:rPr>
        <w:t xml:space="preserve">Learn from operational events</w:t>
      </w:r>
    </w:p>
    <w:p>
      <w:pPr>
        <w:pStyle w:val="Heading2"/>
        <w:spacing w:before="280" w:after="80"/>
      </w:pPr>
      <w:r>
        <w:rPr>
          <w:rFonts w:ascii="Arial" w:cs="Arial" w:eastAsia="Arial" w:hAnsi="Arial"/>
          <w:b/>
          <w:bCs/>
          <w:color w:val="1F4E79"/>
          <w:sz w:val="26"/>
          <w:szCs w:val="26"/>
        </w:rPr>
        <w:t xml:space="preserve">Security</w:t>
      </w:r>
    </w:p>
    <w:p>
      <w:pPr>
        <w:spacing w:before="60" w:after="60"/>
      </w:pPr>
      <w:r>
        <w:rPr>
          <w:rFonts w:ascii="Arial" w:cs="Arial" w:eastAsia="Arial" w:hAnsi="Arial"/>
          <w:i/>
          <w:iCs/>
          <w:color w:val="555555"/>
          <w:sz w:val="22"/>
          <w:szCs w:val="22"/>
        </w:rPr>
        <w:t xml:space="preserve">Focuses on protecting information, systems, and assets while delivering business value through risk assessments and mitigation strategies.</w:t>
      </w:r>
    </w:p>
    <w:p>
      <w:pPr>
        <w:pStyle w:val="ListParagraph"/>
        <w:numPr>
          <w:ilvl w:val="0"/>
          <w:numId w:val="2"/>
        </w:numPr>
        <w:spacing w:before="60" w:after="60"/>
      </w:pPr>
      <w:r>
        <w:rPr>
          <w:rFonts w:ascii="Arial" w:cs="Arial" w:eastAsia="Arial" w:hAnsi="Arial"/>
          <w:color w:val="1A1A2E"/>
          <w:sz w:val="22"/>
          <w:szCs w:val="22"/>
        </w:rPr>
        <w:t xml:space="preserve">Implement a strong identity foundation</w:t>
      </w:r>
    </w:p>
    <w:p>
      <w:pPr>
        <w:pStyle w:val="ListParagraph"/>
        <w:numPr>
          <w:ilvl w:val="0"/>
          <w:numId w:val="2"/>
        </w:numPr>
        <w:spacing w:before="60" w:after="60"/>
      </w:pPr>
      <w:r>
        <w:rPr>
          <w:rFonts w:ascii="Arial" w:cs="Arial" w:eastAsia="Arial" w:hAnsi="Arial"/>
          <w:color w:val="1A1A2E"/>
          <w:sz w:val="22"/>
          <w:szCs w:val="22"/>
        </w:rPr>
        <w:t xml:space="preserve">Enable traceability</w:t>
      </w:r>
    </w:p>
    <w:p>
      <w:pPr>
        <w:pStyle w:val="ListParagraph"/>
        <w:numPr>
          <w:ilvl w:val="0"/>
          <w:numId w:val="2"/>
        </w:numPr>
        <w:spacing w:before="60" w:after="60"/>
      </w:pPr>
      <w:r>
        <w:rPr>
          <w:rFonts w:ascii="Arial" w:cs="Arial" w:eastAsia="Arial" w:hAnsi="Arial"/>
          <w:color w:val="1A1A2E"/>
          <w:sz w:val="22"/>
          <w:szCs w:val="22"/>
        </w:rPr>
        <w:t xml:space="preserve">Apply security at all layers</w:t>
      </w:r>
    </w:p>
    <w:p>
      <w:pPr>
        <w:pStyle w:val="ListParagraph"/>
        <w:numPr>
          <w:ilvl w:val="0"/>
          <w:numId w:val="2"/>
        </w:numPr>
        <w:spacing w:before="60" w:after="60"/>
      </w:pPr>
      <w:r>
        <w:rPr>
          <w:rFonts w:ascii="Arial" w:cs="Arial" w:eastAsia="Arial" w:hAnsi="Arial"/>
          <w:color w:val="1A1A2E"/>
          <w:sz w:val="22"/>
          <w:szCs w:val="22"/>
        </w:rPr>
        <w:t xml:space="preserve">Automate security best practices</w:t>
      </w:r>
    </w:p>
    <w:p>
      <w:pPr>
        <w:pStyle w:val="ListParagraph"/>
        <w:numPr>
          <w:ilvl w:val="0"/>
          <w:numId w:val="2"/>
        </w:numPr>
        <w:spacing w:before="60" w:after="60"/>
      </w:pPr>
      <w:r>
        <w:rPr>
          <w:rFonts w:ascii="Arial" w:cs="Arial" w:eastAsia="Arial" w:hAnsi="Arial"/>
          <w:color w:val="1A1A2E"/>
          <w:sz w:val="22"/>
          <w:szCs w:val="22"/>
        </w:rPr>
        <w:t xml:space="preserve">Protect data in transit and at rest</w:t>
      </w:r>
    </w:p>
    <w:p>
      <w:pPr>
        <w:pStyle w:val="Heading2"/>
        <w:spacing w:before="280" w:after="80"/>
      </w:pPr>
      <w:r>
        <w:rPr>
          <w:rFonts w:ascii="Arial" w:cs="Arial" w:eastAsia="Arial" w:hAnsi="Arial"/>
          <w:b/>
          <w:bCs/>
          <w:color w:val="1F4E79"/>
          <w:sz w:val="26"/>
          <w:szCs w:val="26"/>
        </w:rPr>
        <w:t xml:space="preserve">Reliability</w:t>
      </w:r>
    </w:p>
    <w:p>
      <w:pPr>
        <w:spacing w:before="60" w:after="60"/>
      </w:pPr>
      <w:r>
        <w:rPr>
          <w:rFonts w:ascii="Arial" w:cs="Arial" w:eastAsia="Arial" w:hAnsi="Arial"/>
          <w:i/>
          <w:iCs/>
          <w:color w:val="555555"/>
          <w:sz w:val="22"/>
          <w:szCs w:val="22"/>
        </w:rPr>
        <w:t xml:space="preserve">Ensures a workload performs its intended function correctly and consistently when expected.</w:t>
      </w:r>
    </w:p>
    <w:p>
      <w:pPr>
        <w:pStyle w:val="ListParagraph"/>
        <w:numPr>
          <w:ilvl w:val="0"/>
          <w:numId w:val="2"/>
        </w:numPr>
        <w:spacing w:before="60" w:after="60"/>
      </w:pPr>
      <w:r>
        <w:rPr>
          <w:rFonts w:ascii="Arial" w:cs="Arial" w:eastAsia="Arial" w:hAnsi="Arial"/>
          <w:color w:val="1A1A2E"/>
          <w:sz w:val="22"/>
          <w:szCs w:val="22"/>
        </w:rPr>
        <w:t xml:space="preserve">Automatically recover from failure</w:t>
      </w:r>
    </w:p>
    <w:p>
      <w:pPr>
        <w:pStyle w:val="ListParagraph"/>
        <w:numPr>
          <w:ilvl w:val="0"/>
          <w:numId w:val="2"/>
        </w:numPr>
        <w:spacing w:before="60" w:after="60"/>
      </w:pPr>
      <w:r>
        <w:rPr>
          <w:rFonts w:ascii="Arial" w:cs="Arial" w:eastAsia="Arial" w:hAnsi="Arial"/>
          <w:color w:val="1A1A2E"/>
          <w:sz w:val="22"/>
          <w:szCs w:val="22"/>
        </w:rPr>
        <w:t xml:space="preserve">Test recovery procedures</w:t>
      </w:r>
    </w:p>
    <w:p>
      <w:pPr>
        <w:pStyle w:val="ListParagraph"/>
        <w:numPr>
          <w:ilvl w:val="0"/>
          <w:numId w:val="2"/>
        </w:numPr>
        <w:spacing w:before="60" w:after="60"/>
      </w:pPr>
      <w:r>
        <w:rPr>
          <w:rFonts w:ascii="Arial" w:cs="Arial" w:eastAsia="Arial" w:hAnsi="Arial"/>
          <w:color w:val="1A1A2E"/>
          <w:sz w:val="22"/>
          <w:szCs w:val="22"/>
        </w:rPr>
        <w:t xml:space="preserve">Scale horizontally to increase aggregate workload availability</w:t>
      </w:r>
    </w:p>
    <w:p>
      <w:pPr>
        <w:pStyle w:val="ListParagraph"/>
        <w:numPr>
          <w:ilvl w:val="0"/>
          <w:numId w:val="2"/>
        </w:numPr>
        <w:spacing w:before="60" w:after="60"/>
      </w:pPr>
      <w:r>
        <w:rPr>
          <w:rFonts w:ascii="Arial" w:cs="Arial" w:eastAsia="Arial" w:hAnsi="Arial"/>
          <w:color w:val="1A1A2E"/>
          <w:sz w:val="22"/>
          <w:szCs w:val="22"/>
        </w:rPr>
        <w:t xml:space="preserve">Stop guessing capacity</w:t>
      </w:r>
    </w:p>
    <w:p>
      <w:pPr>
        <w:pStyle w:val="Heading2"/>
        <w:spacing w:before="280" w:after="80"/>
      </w:pPr>
      <w:r>
        <w:rPr>
          <w:rFonts w:ascii="Arial" w:cs="Arial" w:eastAsia="Arial" w:hAnsi="Arial"/>
          <w:b/>
          <w:bCs/>
          <w:color w:val="1F4E79"/>
          <w:sz w:val="26"/>
          <w:szCs w:val="26"/>
        </w:rPr>
        <w:t xml:space="preserve">Performance Efficiency</w:t>
      </w:r>
    </w:p>
    <w:p>
      <w:pPr>
        <w:spacing w:before="60" w:after="60"/>
      </w:pPr>
      <w:r>
        <w:rPr>
          <w:rFonts w:ascii="Arial" w:cs="Arial" w:eastAsia="Arial" w:hAnsi="Arial"/>
          <w:i/>
          <w:iCs/>
          <w:color w:val="555555"/>
          <w:sz w:val="22"/>
          <w:szCs w:val="22"/>
        </w:rPr>
        <w:t xml:space="preserve">Focuses on structured and streamlined allocation of IT and computing resources.</w:t>
      </w:r>
    </w:p>
    <w:p>
      <w:pPr>
        <w:pStyle w:val="ListParagraph"/>
        <w:numPr>
          <w:ilvl w:val="0"/>
          <w:numId w:val="2"/>
        </w:numPr>
        <w:spacing w:before="60" w:after="60"/>
      </w:pPr>
      <w:r>
        <w:rPr>
          <w:rFonts w:ascii="Arial" w:cs="Arial" w:eastAsia="Arial" w:hAnsi="Arial"/>
          <w:color w:val="1A1A2E"/>
          <w:sz w:val="22"/>
          <w:szCs w:val="22"/>
        </w:rPr>
        <w:t xml:space="preserve">Democratize advanced technologies</w:t>
      </w:r>
    </w:p>
    <w:p>
      <w:pPr>
        <w:pStyle w:val="ListParagraph"/>
        <w:numPr>
          <w:ilvl w:val="0"/>
          <w:numId w:val="2"/>
        </w:numPr>
        <w:spacing w:before="60" w:after="60"/>
      </w:pPr>
      <w:r>
        <w:rPr>
          <w:rFonts w:ascii="Arial" w:cs="Arial" w:eastAsia="Arial" w:hAnsi="Arial"/>
          <w:color w:val="1A1A2E"/>
          <w:sz w:val="22"/>
          <w:szCs w:val="22"/>
        </w:rPr>
        <w:t xml:space="preserve">Go global in minutes</w:t>
      </w:r>
    </w:p>
    <w:p>
      <w:pPr>
        <w:pStyle w:val="ListParagraph"/>
        <w:numPr>
          <w:ilvl w:val="0"/>
          <w:numId w:val="2"/>
        </w:numPr>
        <w:spacing w:before="60" w:after="60"/>
      </w:pPr>
      <w:r>
        <w:rPr>
          <w:rFonts w:ascii="Arial" w:cs="Arial" w:eastAsia="Arial" w:hAnsi="Arial"/>
          <w:color w:val="1A1A2E"/>
          <w:sz w:val="22"/>
          <w:szCs w:val="22"/>
        </w:rPr>
        <w:t xml:space="preserve">Use serverless architectures where appropriate</w:t>
      </w:r>
    </w:p>
    <w:p>
      <w:pPr>
        <w:pStyle w:val="ListParagraph"/>
        <w:numPr>
          <w:ilvl w:val="0"/>
          <w:numId w:val="2"/>
        </w:numPr>
        <w:spacing w:before="60" w:after="60"/>
      </w:pPr>
      <w:r>
        <w:rPr>
          <w:rFonts w:ascii="Arial" w:cs="Arial" w:eastAsia="Arial" w:hAnsi="Arial"/>
          <w:color w:val="1A1A2E"/>
          <w:sz w:val="22"/>
          <w:szCs w:val="22"/>
        </w:rPr>
        <w:t xml:space="preserve">Experiment more often</w:t>
      </w:r>
    </w:p>
    <w:p>
      <w:pPr>
        <w:pStyle w:val="ListParagraph"/>
        <w:numPr>
          <w:ilvl w:val="0"/>
          <w:numId w:val="2"/>
        </w:numPr>
        <w:spacing w:before="60" w:after="60"/>
      </w:pPr>
      <w:r>
        <w:rPr>
          <w:rFonts w:ascii="Arial" w:cs="Arial" w:eastAsia="Arial" w:hAnsi="Arial"/>
          <w:color w:val="1A1A2E"/>
          <w:sz w:val="22"/>
          <w:szCs w:val="22"/>
        </w:rPr>
        <w:t xml:space="preserve">Consider mechanical sympathy</w:t>
      </w:r>
    </w:p>
    <w:p>
      <w:pPr>
        <w:pStyle w:val="Heading2"/>
        <w:spacing w:before="280" w:after="80"/>
      </w:pPr>
      <w:r>
        <w:rPr>
          <w:rFonts w:ascii="Arial" w:cs="Arial" w:eastAsia="Arial" w:hAnsi="Arial"/>
          <w:b/>
          <w:bCs/>
          <w:color w:val="1F4E79"/>
          <w:sz w:val="26"/>
          <w:szCs w:val="26"/>
        </w:rPr>
        <w:t xml:space="preserve">Cost Optimization</w:t>
      </w:r>
    </w:p>
    <w:p>
      <w:pPr>
        <w:spacing w:before="60" w:after="60"/>
      </w:pPr>
      <w:r>
        <w:rPr>
          <w:rFonts w:ascii="Arial" w:cs="Arial" w:eastAsia="Arial" w:hAnsi="Arial"/>
          <w:i/>
          <w:iCs/>
          <w:color w:val="555555"/>
          <w:sz w:val="22"/>
          <w:szCs w:val="22"/>
        </w:rPr>
        <w:t xml:space="preserve">Focuses on avoiding unnecessary costs.</w:t>
      </w:r>
    </w:p>
    <w:p>
      <w:pPr>
        <w:pStyle w:val="ListParagraph"/>
        <w:numPr>
          <w:ilvl w:val="0"/>
          <w:numId w:val="2"/>
        </w:numPr>
        <w:spacing w:before="60" w:after="60"/>
      </w:pPr>
      <w:r>
        <w:rPr>
          <w:rFonts w:ascii="Arial" w:cs="Arial" w:eastAsia="Arial" w:hAnsi="Arial"/>
          <w:color w:val="1A1A2E"/>
          <w:sz w:val="22"/>
          <w:szCs w:val="22"/>
        </w:rPr>
        <w:t xml:space="preserve">Implement cloud financial management</w:t>
      </w:r>
    </w:p>
    <w:p>
      <w:pPr>
        <w:pStyle w:val="ListParagraph"/>
        <w:numPr>
          <w:ilvl w:val="0"/>
          <w:numId w:val="2"/>
        </w:numPr>
        <w:spacing w:before="60" w:after="60"/>
      </w:pPr>
      <w:r>
        <w:rPr>
          <w:rFonts w:ascii="Arial" w:cs="Arial" w:eastAsia="Arial" w:hAnsi="Arial"/>
          <w:color w:val="1A1A2E"/>
          <w:sz w:val="22"/>
          <w:szCs w:val="22"/>
        </w:rPr>
        <w:t xml:space="preserve">Adopt a consumption model</w:t>
      </w:r>
    </w:p>
    <w:p>
      <w:pPr>
        <w:pStyle w:val="ListParagraph"/>
        <w:numPr>
          <w:ilvl w:val="0"/>
          <w:numId w:val="2"/>
        </w:numPr>
        <w:spacing w:before="60" w:after="60"/>
      </w:pPr>
      <w:r>
        <w:rPr>
          <w:rFonts w:ascii="Arial" w:cs="Arial" w:eastAsia="Arial" w:hAnsi="Arial"/>
          <w:color w:val="1A1A2E"/>
          <w:sz w:val="22"/>
          <w:szCs w:val="22"/>
        </w:rPr>
        <w:t xml:space="preserve">Measure overall efficiency</w:t>
      </w:r>
    </w:p>
    <w:p>
      <w:pPr>
        <w:pStyle w:val="ListParagraph"/>
        <w:numPr>
          <w:ilvl w:val="0"/>
          <w:numId w:val="2"/>
        </w:numPr>
        <w:spacing w:before="60" w:after="60"/>
      </w:pPr>
      <w:r>
        <w:rPr>
          <w:rFonts w:ascii="Arial" w:cs="Arial" w:eastAsia="Arial" w:hAnsi="Arial"/>
          <w:color w:val="1A1A2E"/>
          <w:sz w:val="22"/>
          <w:szCs w:val="22"/>
        </w:rPr>
        <w:t xml:space="preserve">Stop spending money on undifferentiated heavy lifting</w:t>
      </w:r>
    </w:p>
    <w:p>
      <w:pPr>
        <w:pStyle w:val="ListParagraph"/>
        <w:numPr>
          <w:ilvl w:val="0"/>
          <w:numId w:val="2"/>
        </w:numPr>
        <w:spacing w:before="60" w:after="60"/>
      </w:pPr>
      <w:r>
        <w:rPr>
          <w:rFonts w:ascii="Arial" w:cs="Arial" w:eastAsia="Arial" w:hAnsi="Arial"/>
          <w:color w:val="1A1A2E"/>
          <w:sz w:val="22"/>
          <w:szCs w:val="22"/>
        </w:rPr>
        <w:t xml:space="preserve">Analyze and attribute expenditure</w:t>
      </w:r>
    </w:p>
    <w:p>
      <w:pPr>
        <w:pStyle w:val="Heading2"/>
        <w:spacing w:before="280" w:after="80"/>
      </w:pPr>
      <w:r>
        <w:rPr>
          <w:rFonts w:ascii="Arial" w:cs="Arial" w:eastAsia="Arial" w:hAnsi="Arial"/>
          <w:b/>
          <w:bCs/>
          <w:color w:val="1F4E79"/>
          <w:sz w:val="26"/>
          <w:szCs w:val="26"/>
        </w:rPr>
        <w:t xml:space="preserve">Sustainability</w:t>
      </w:r>
    </w:p>
    <w:p>
      <w:pPr>
        <w:spacing w:before="60" w:after="60"/>
      </w:pPr>
      <w:r>
        <w:rPr>
          <w:rFonts w:ascii="Arial" w:cs="Arial" w:eastAsia="Arial" w:hAnsi="Arial"/>
          <w:i/>
          <w:iCs/>
          <w:color w:val="555555"/>
          <w:sz w:val="22"/>
          <w:szCs w:val="22"/>
        </w:rPr>
        <w:t xml:space="preserve">Focuses on minimizing environmental impacts, acknowledging the shared responsibility model.</w:t>
      </w:r>
    </w:p>
    <w:p>
      <w:pPr>
        <w:pStyle w:val="ListParagraph"/>
        <w:numPr>
          <w:ilvl w:val="0"/>
          <w:numId w:val="2"/>
        </w:numPr>
        <w:spacing w:before="60" w:after="60"/>
      </w:pPr>
      <w:r>
        <w:rPr>
          <w:rFonts w:ascii="Arial" w:cs="Arial" w:eastAsia="Arial" w:hAnsi="Arial"/>
          <w:color w:val="1A1A2E"/>
          <w:sz w:val="22"/>
          <w:szCs w:val="22"/>
        </w:rPr>
        <w:t xml:space="preserve">Understand your impact</w:t>
      </w:r>
    </w:p>
    <w:p>
      <w:pPr>
        <w:pStyle w:val="ListParagraph"/>
        <w:numPr>
          <w:ilvl w:val="0"/>
          <w:numId w:val="2"/>
        </w:numPr>
        <w:spacing w:before="60" w:after="60"/>
      </w:pPr>
      <w:r>
        <w:rPr>
          <w:rFonts w:ascii="Arial" w:cs="Arial" w:eastAsia="Arial" w:hAnsi="Arial"/>
          <w:color w:val="1A1A2E"/>
          <w:sz w:val="22"/>
          <w:szCs w:val="22"/>
        </w:rPr>
        <w:t xml:space="preserve">Establish sustainability goals</w:t>
      </w:r>
    </w:p>
    <w:p>
      <w:pPr>
        <w:pStyle w:val="ListParagraph"/>
        <w:numPr>
          <w:ilvl w:val="0"/>
          <w:numId w:val="2"/>
        </w:numPr>
        <w:spacing w:before="60" w:after="60"/>
      </w:pPr>
      <w:r>
        <w:rPr>
          <w:rFonts w:ascii="Arial" w:cs="Arial" w:eastAsia="Arial" w:hAnsi="Arial"/>
          <w:color w:val="1A1A2E"/>
          <w:sz w:val="22"/>
          <w:szCs w:val="22"/>
        </w:rPr>
        <w:t xml:space="preserve">Maximize utilization</w:t>
      </w:r>
    </w:p>
    <w:p>
      <w:pPr>
        <w:pStyle w:val="ListParagraph"/>
        <w:numPr>
          <w:ilvl w:val="0"/>
          <w:numId w:val="2"/>
        </w:numPr>
        <w:spacing w:before="60" w:after="60"/>
      </w:pPr>
      <w:r>
        <w:rPr>
          <w:rFonts w:ascii="Arial" w:cs="Arial" w:eastAsia="Arial" w:hAnsi="Arial"/>
          <w:color w:val="1A1A2E"/>
          <w:sz w:val="22"/>
          <w:szCs w:val="22"/>
        </w:rPr>
        <w:t xml:space="preserve">Anticipate and adopt new, more efficient hardware/software offerings</w:t>
      </w:r>
    </w:p>
    <w:p>
      <w:pPr>
        <w:pStyle w:val="ListParagraph"/>
        <w:numPr>
          <w:ilvl w:val="0"/>
          <w:numId w:val="2"/>
        </w:numPr>
        <w:spacing w:before="60" w:after="60"/>
      </w:pPr>
      <w:r>
        <w:rPr>
          <w:rFonts w:ascii="Arial" w:cs="Arial" w:eastAsia="Arial" w:hAnsi="Arial"/>
          <w:color w:val="1A1A2E"/>
          <w:sz w:val="22"/>
          <w:szCs w:val="22"/>
        </w:rPr>
        <w:t xml:space="preserve">Use managed services</w:t>
      </w:r>
    </w:p>
    <w:p>
      <w:pPr>
        <w:pStyle w:val="Heading1"/>
        <w:spacing w:before="420" w:after="120"/>
      </w:pPr>
      <w:r>
        <w:rPr>
          <w:rFonts w:ascii="Arial" w:cs="Arial" w:eastAsia="Arial" w:hAnsi="Arial"/>
          <w:b/>
          <w:bCs/>
          <w:color w:val="2E5FA3"/>
          <w:sz w:val="32"/>
          <w:szCs w:val="32"/>
        </w:rPr>
        <w:t xml:space="preserve">4. General Cloud Design Principles</w:t>
      </w:r>
    </w:p>
    <w:p>
      <w:pPr>
        <w:pStyle w:val="ListParagraph"/>
        <w:numPr>
          <w:ilvl w:val="0"/>
          <w:numId w:val="2"/>
        </w:numPr>
        <w:spacing w:before="60" w:after="60"/>
      </w:pPr>
      <w:r>
        <w:rPr>
          <w:rFonts w:ascii="Arial" w:cs="Arial" w:eastAsia="Arial" w:hAnsi="Arial"/>
          <w:b/>
          <w:bCs/>
          <w:color w:val="1A1A2E"/>
          <w:sz w:val="22"/>
          <w:szCs w:val="22"/>
        </w:rPr>
        <w:t xml:space="preserve">Stop guessing capacity</w:t>
      </w:r>
      <w:r>
        <w:rPr>
          <w:rFonts w:ascii="Arial" w:cs="Arial" w:eastAsia="Arial" w:hAnsi="Arial"/>
          <w:color w:val="1A1A2E"/>
          <w:sz w:val="22"/>
          <w:szCs w:val="22"/>
        </w:rPr>
        <w:t xml:space="preserve"> — Use auto-scaling (Cluster Autoscaler/Karpenter + HPA) to match resource allocation to actual demand.</w:t>
      </w:r>
    </w:p>
    <w:p>
      <w:pPr>
        <w:pStyle w:val="ListParagraph"/>
        <w:numPr>
          <w:ilvl w:val="0"/>
          <w:numId w:val="2"/>
        </w:numPr>
        <w:spacing w:before="60" w:after="60"/>
      </w:pPr>
      <w:r>
        <w:rPr>
          <w:rFonts w:ascii="Arial" w:cs="Arial" w:eastAsia="Arial" w:hAnsi="Arial"/>
          <w:b/>
          <w:bCs/>
          <w:color w:val="1A1A2E"/>
          <w:sz w:val="22"/>
          <w:szCs w:val="22"/>
        </w:rPr>
        <w:t xml:space="preserve">Test systems at production scale</w:t>
      </w:r>
      <w:r>
        <w:rPr>
          <w:rFonts w:ascii="Arial" w:cs="Arial" w:eastAsia="Arial" w:hAnsi="Arial"/>
          <w:color w:val="1A1A2E"/>
          <w:sz w:val="22"/>
          <w:szCs w:val="22"/>
        </w:rPr>
        <w:t xml:space="preserve"> — Replicate load conditions in staging before deploying.</w:t>
      </w:r>
    </w:p>
    <w:p>
      <w:pPr>
        <w:pStyle w:val="ListParagraph"/>
        <w:numPr>
          <w:ilvl w:val="0"/>
          <w:numId w:val="2"/>
        </w:numPr>
        <w:spacing w:before="60" w:after="60"/>
      </w:pPr>
      <w:r>
        <w:rPr>
          <w:rFonts w:ascii="Arial" w:cs="Arial" w:eastAsia="Arial" w:hAnsi="Arial"/>
          <w:b/>
          <w:bCs/>
          <w:color w:val="1A1A2E"/>
          <w:sz w:val="22"/>
          <w:szCs w:val="22"/>
        </w:rPr>
        <w:t xml:space="preserve">Lower risk with automation</w:t>
      </w:r>
      <w:r>
        <w:rPr>
          <w:rFonts w:ascii="Arial" w:cs="Arial" w:eastAsia="Arial" w:hAnsi="Arial"/>
          <w:color w:val="1A1A2E"/>
          <w:sz w:val="22"/>
          <w:szCs w:val="22"/>
        </w:rPr>
        <w:t xml:space="preserve"> — CI/CD pipelines, infrastructure as code, and automated rollbacks reduce human error.</w:t>
      </w:r>
    </w:p>
    <w:p>
      <w:pPr>
        <w:pStyle w:val="ListParagraph"/>
        <w:numPr>
          <w:ilvl w:val="0"/>
          <w:numId w:val="2"/>
        </w:numPr>
        <w:spacing w:before="60" w:after="60"/>
      </w:pPr>
      <w:r>
        <w:rPr>
          <w:rFonts w:ascii="Arial" w:cs="Arial" w:eastAsia="Arial" w:hAnsi="Arial"/>
          <w:b/>
          <w:bCs/>
          <w:color w:val="1A1A2E"/>
          <w:sz w:val="22"/>
          <w:szCs w:val="22"/>
        </w:rPr>
        <w:t xml:space="preserve">Design for failure</w:t>
      </w:r>
      <w:r>
        <w:rPr>
          <w:rFonts w:ascii="Arial" w:cs="Arial" w:eastAsia="Arial" w:hAnsi="Arial"/>
          <w:color w:val="1A1A2E"/>
          <w:sz w:val="22"/>
          <w:szCs w:val="22"/>
        </w:rPr>
        <w:t xml:space="preserve"> — Assume any component can fail at any time. Multi-AZ deployments, health checks, and circuit breakers ensure continuity.</w:t>
      </w:r>
    </w:p>
    <w:p>
      <w:pPr>
        <w:spacing w:before="80" w:after="0"/>
      </w:pPr>
      <w:r>
        <w:rPr>
          <w:rFonts w:ascii="Arial" w:cs="Arial" w:eastAsia="Arial" w:hAnsi="Arial"/>
          <w:color w:val="1A1A2E"/>
          <w:sz w:val="22"/>
          <w:szCs w:val="22"/>
        </w:rPr>
        <w:t xml:space="preserve"/>
      </w:r>
    </w:p>
    <w:p>
      <w:pPr>
        <w:pStyle w:val="Heading1"/>
        <w:spacing w:before="420" w:after="120"/>
      </w:pPr>
      <w:r>
        <w:rPr>
          <w:rFonts w:ascii="Arial" w:cs="Arial" w:eastAsia="Arial" w:hAnsi="Arial"/>
          <w:b/>
          <w:bCs/>
          <w:color w:val="2E5FA3"/>
          <w:sz w:val="32"/>
          <w:szCs w:val="32"/>
        </w:rPr>
        <w:t xml:space="preserve">5. Recommended Build Order (Walking Skeleton)</w:t>
      </w:r>
    </w:p>
    <w:p>
      <w:pPr>
        <w:spacing w:before="60" w:after="60"/>
      </w:pPr>
      <w:r>
        <w:rPr>
          <w:rFonts w:ascii="Arial" w:cs="Arial" w:eastAsia="Arial" w:hAnsi="Arial"/>
          <w:color w:val="1A1A2E"/>
          <w:sz w:val="22"/>
          <w:szCs w:val="22"/>
        </w:rPr>
        <w:t xml:space="preserve">Building in the following order ensures the app is demonstrable at every stage rather than having nothing runnable until the end.</w:t>
      </w:r>
    </w:p>
    <w:p>
      <w:pPr>
        <w:spacing w:before="80" w:after="0"/>
      </w:pPr>
      <w:r>
        <w:rPr>
          <w:rFonts w:ascii="Arial" w:cs="Arial" w:eastAsia="Arial" w:hAnsi="Arial"/>
          <w:color w:val="1A1A2E"/>
          <w:sz w:val="22"/>
          <w:szCs w:val="22"/>
        </w:rPr>
        <w:t xml:space="preserve"/>
      </w:r>
    </w:p>
    <w:p>
      <w:pPr>
        <w:pStyle w:val="ListParagraph"/>
        <w:numPr>
          <w:ilvl w:val="0"/>
          <w:numId w:val="2"/>
        </w:numPr>
        <w:spacing w:before="80" w:after="60"/>
      </w:pPr>
      <w:r>
        <w:rPr>
          <w:rFonts w:ascii="Arial" w:cs="Arial" w:eastAsia="Arial" w:hAnsi="Arial"/>
          <w:b/>
          <w:bCs/>
          <w:color w:val="1A1A2E"/>
          <w:sz w:val="22"/>
          <w:szCs w:val="22"/>
        </w:rPr>
        <w:t xml:space="preserve">Phase 1 — Auth</w:t>
      </w:r>
      <w:r>
        <w:rPr>
          <w:rFonts w:ascii="Arial" w:cs="Arial" w:eastAsia="Arial" w:hAnsi="Arial"/>
          <w:color w:val="1A1A2E"/>
          <w:sz w:val="22"/>
          <w:szCs w:val="22"/>
        </w:rPr>
        <w:t xml:space="preserve">: Cognito + Identity-Service + login/register UI.</w:t>
      </w:r>
    </w:p>
    <w:p>
      <w:pPr>
        <w:pStyle w:val="ListParagraph"/>
        <w:numPr>
          <w:ilvl w:val="0"/>
          <w:numId w:val="2"/>
        </w:numPr>
        <w:spacing w:before="80" w:after="60"/>
      </w:pPr>
      <w:r>
        <w:rPr>
          <w:rFonts w:ascii="Arial" w:cs="Arial" w:eastAsia="Arial" w:hAnsi="Arial"/>
          <w:b/>
          <w:bCs/>
          <w:color w:val="1A1A2E"/>
          <w:sz w:val="22"/>
          <w:szCs w:val="22"/>
        </w:rPr>
        <w:t xml:space="preserve">Phase 2 — Repo Creation</w:t>
      </w:r>
      <w:r>
        <w:rPr>
          <w:rFonts w:ascii="Arial" w:cs="Arial" w:eastAsia="Arial" w:hAnsi="Arial"/>
          <w:color w:val="1A1A2E"/>
          <w:sz w:val="22"/>
          <w:szCs w:val="22"/>
        </w:rPr>
        <w:t xml:space="preserve">: Workflow-Service POST /v1/repos/create + Table 2 init + dashboard UI (including empty state).</w:t>
      </w:r>
    </w:p>
    <w:p>
      <w:pPr>
        <w:pStyle w:val="ListParagraph"/>
        <w:numPr>
          <w:ilvl w:val="0"/>
          <w:numId w:val="2"/>
        </w:numPr>
        <w:spacing w:before="80" w:after="60"/>
      </w:pPr>
      <w:r>
        <w:rPr>
          <w:rFonts w:ascii="Arial" w:cs="Arial" w:eastAsia="Arial" w:hAnsi="Arial"/>
          <w:b/>
          <w:bCs/>
          <w:color w:val="1A1A2E"/>
          <w:sz w:val="22"/>
          <w:szCs w:val="22"/>
        </w:rPr>
        <w:t xml:space="preserve">Phase 3 — File Upload + View Mode</w:t>
      </w:r>
      <w:r>
        <w:rPr>
          <w:rFonts w:ascii="Arial" w:cs="Arial" w:eastAsia="Arial" w:hAnsi="Arial"/>
          <w:color w:val="1A1A2E"/>
          <w:sz w:val="22"/>
          <w:szCs w:val="22"/>
        </w:rPr>
        <w:t xml:space="preserve">: Repo-Service + S3 + CloudFront signed URLs + explorer UI (including binary file handling).</w:t>
      </w:r>
    </w:p>
    <w:p>
      <w:pPr>
        <w:pStyle w:val="ListParagraph"/>
        <w:numPr>
          <w:ilvl w:val="0"/>
          <w:numId w:val="2"/>
        </w:numPr>
        <w:spacing w:before="80" w:after="60"/>
      </w:pPr>
      <w:r>
        <w:rPr>
          <w:rFonts w:ascii="Arial" w:cs="Arial" w:eastAsia="Arial" w:hAnsi="Arial"/>
          <w:b/>
          <w:bCs/>
          <w:color w:val="1A1A2E"/>
          <w:sz w:val="22"/>
          <w:szCs w:val="22"/>
        </w:rPr>
        <w:t xml:space="preserve">Phase 4 — Edit Mode + Drafts</w:t>
      </w:r>
      <w:r>
        <w:rPr>
          <w:rFonts w:ascii="Arial" w:cs="Arial" w:eastAsia="Arial" w:hAnsi="Arial"/>
          <w:color w:val="1A1A2E"/>
          <w:sz w:val="22"/>
          <w:szCs w:val="22"/>
        </w:rPr>
        <w:t xml:space="preserve">: EFS integration + save endpoint + online IDE UI.</w:t>
      </w:r>
    </w:p>
    <w:p>
      <w:pPr>
        <w:pStyle w:val="ListParagraph"/>
        <w:numPr>
          <w:ilvl w:val="0"/>
          <w:numId w:val="2"/>
        </w:numPr>
        <w:spacing w:before="80" w:after="60"/>
      </w:pPr>
      <w:r>
        <w:rPr>
          <w:rFonts w:ascii="Arial" w:cs="Arial" w:eastAsia="Arial" w:hAnsi="Arial"/>
          <w:b/>
          <w:bCs/>
          <w:color w:val="1A1A2E"/>
          <w:sz w:val="22"/>
          <w:szCs w:val="22"/>
        </w:rPr>
        <w:t xml:space="preserve">Phase 5 — Commit + Approval Flow</w:t>
      </w:r>
      <w:r>
        <w:rPr>
          <w:rFonts w:ascii="Arial" w:cs="Arial" w:eastAsia="Arial" w:hAnsi="Arial"/>
          <w:color w:val="1A1A2E"/>
          <w:sz w:val="22"/>
          <w:szCs w:val="22"/>
        </w:rPr>
        <w:t xml:space="preserve">: Full Workflow-Service state machine with atomic transactions, SQS cleanup, and commit status panel for authors.</w:t>
      </w:r>
    </w:p>
    <w:p>
      <w:pPr>
        <w:pStyle w:val="ListParagraph"/>
        <w:numPr>
          <w:ilvl w:val="0"/>
          <w:numId w:val="2"/>
        </w:numPr>
        <w:spacing w:before="80" w:after="60"/>
      </w:pPr>
      <w:r>
        <w:rPr>
          <w:rFonts w:ascii="Arial" w:cs="Arial" w:eastAsia="Arial" w:hAnsi="Arial"/>
          <w:b/>
          <w:bCs/>
          <w:color w:val="1A1A2E"/>
          <w:sz w:val="22"/>
          <w:szCs w:val="22"/>
        </w:rPr>
        <w:t xml:space="preserve">Phase 6 — Rejection + Notifications</w:t>
      </w:r>
      <w:r>
        <w:rPr>
          <w:rFonts w:ascii="Arial" w:cs="Arial" w:eastAsia="Arial" w:hAnsi="Arial"/>
          <w:color w:val="1A1A2E"/>
          <w:sz w:val="22"/>
          <w:szCs w:val="22"/>
        </w:rPr>
        <w:t xml:space="preserve">: Reviewer comment field + SES email notifications for approval and rejection.</w:t>
      </w:r>
    </w:p>
    <w:p>
      <w:pPr>
        <w:pStyle w:val="ListParagraph"/>
        <w:numPr>
          <w:ilvl w:val="0"/>
          <w:numId w:val="2"/>
        </w:numPr>
        <w:spacing w:before="80" w:after="60"/>
      </w:pPr>
      <w:r>
        <w:rPr>
          <w:rFonts w:ascii="Arial" w:cs="Arial" w:eastAsia="Arial" w:hAnsi="Arial"/>
          <w:b/>
          <w:bCs/>
          <w:color w:val="1A1A2E"/>
          <w:sz w:val="22"/>
          <w:szCs w:val="22"/>
        </w:rPr>
        <w:t xml:space="preserve">Phase 7 — Conflict Review Screen</w:t>
      </w:r>
      <w:r>
        <w:rPr>
          <w:rFonts w:ascii="Arial" w:cs="Arial" w:eastAsia="Arial" w:hAnsi="Arial"/>
          <w:color w:val="1A1A2E"/>
          <w:sz w:val="22"/>
          <w:szCs w:val="22"/>
        </w:rPr>
        <w:t xml:space="preserve">: GET /v1/repos/{id}/conflicts endpoint + Conflict Review Screen UI with per-file classification and resolution controls.</w:t>
      </w:r>
    </w:p>
    <w:p>
      <w:pPr>
        <w:pStyle w:val="ListParagraph"/>
        <w:numPr>
          <w:ilvl w:val="0"/>
          <w:numId w:val="2"/>
        </w:numPr>
        <w:spacing w:before="80" w:after="60"/>
      </w:pPr>
      <w:r>
        <w:rPr>
          <w:rFonts w:ascii="Arial" w:cs="Arial" w:eastAsia="Arial" w:hAnsi="Arial"/>
          <w:b/>
          <w:bCs/>
          <w:color w:val="1A1A2E"/>
          <w:sz w:val="22"/>
          <w:szCs w:val="22"/>
        </w:rPr>
        <w:t xml:space="preserve">Phase 8 — Invites + Email</w:t>
      </w:r>
      <w:r>
        <w:rPr>
          <w:rFonts w:ascii="Arial" w:cs="Arial" w:eastAsia="Arial" w:hAnsi="Arial"/>
          <w:color w:val="1A1A2E"/>
          <w:sz w:val="22"/>
          <w:szCs w:val="22"/>
        </w:rPr>
        <w:t xml:space="preserve">: Invite token generation with TTL + SES delivery + accept/expiry flow.</w:t>
      </w:r>
    </w:p>
    <w:p>
      <w:pPr>
        <w:pStyle w:val="ListParagraph"/>
        <w:numPr>
          <w:ilvl w:val="0"/>
          <w:numId w:val="2"/>
        </w:numPr>
        <w:spacing w:before="80" w:after="60"/>
      </w:pPr>
      <w:r>
        <w:rPr>
          <w:rFonts w:ascii="Arial" w:cs="Arial" w:eastAsia="Arial" w:hAnsi="Arial"/>
          <w:b/>
          <w:bCs/>
          <w:color w:val="1A1A2E"/>
          <w:sz w:val="22"/>
          <w:szCs w:val="22"/>
        </w:rPr>
        <w:t xml:space="preserve">Phase 9 — Repo Deletion</w:t>
      </w:r>
      <w:r>
        <w:rPr>
          <w:rFonts w:ascii="Arial" w:cs="Arial" w:eastAsia="Arial" w:hAnsi="Arial"/>
          <w:color w:val="1A1A2E"/>
          <w:sz w:val="22"/>
          <w:szCs w:val="22"/>
        </w:rPr>
        <w:t xml:space="preserve">: Admin DELETE /v1/repos/{id} with cascading cleanup across all tables and EFS.</w:t>
      </w:r>
    </w:p>
    <w:p>
      <w:pPr>
        <w:pStyle w:val="ListParagraph"/>
        <w:numPr>
          <w:ilvl w:val="0"/>
          <w:numId w:val="2"/>
        </w:numPr>
        <w:spacing w:before="80" w:after="60"/>
      </w:pPr>
      <w:r>
        <w:rPr>
          <w:rFonts w:ascii="Arial" w:cs="Arial" w:eastAsia="Arial" w:hAnsi="Arial"/>
          <w:b/>
          <w:bCs/>
          <w:color w:val="1A1A2E"/>
          <w:sz w:val="22"/>
          <w:szCs w:val="22"/>
        </w:rPr>
        <w:t xml:space="preserve">Phase 10 — Infrastructure Hardening</w:t>
      </w:r>
      <w:r>
        <w:rPr>
          <w:rFonts w:ascii="Arial" w:cs="Arial" w:eastAsia="Arial" w:hAnsi="Arial"/>
          <w:color w:val="1A1A2E"/>
          <w:sz w:val="22"/>
          <w:szCs w:val="22"/>
        </w:rPr>
        <w:t xml:space="preserve">: EKS (with ALB Ingress, HPA, Karpenter), Route53, DNSSEC, HTTPS via ACM, CloudFront key rotation.</w:t>
      </w:r>
    </w:p>
    <w:p>
      <w:pPr>
        <w:spacing w:before="80" w:after="0"/>
      </w:pPr>
      <w:r>
        <w:rPr>
          <w:rFonts w:ascii="Arial" w:cs="Arial" w:eastAsia="Arial" w:hAnsi="Arial"/>
          <w:color w:val="1A1A2E"/>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360" w:hanging="2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20"/>
      <w:outlineLvl w:val="0"/>
    </w:pPr>
    <w:rPr>
      <w:rFonts w:ascii="Arial" w:cs="Arial" w:eastAsia="Arial" w:hAnsi="Arial"/>
      <w:b/>
      <w:bCs/>
      <w:color w:val="2E5FA3"/>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F4E79"/>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2026-03-20T12:47:15.424Z</dcterms:created>
  <dcterms:modified xsi:type="dcterms:W3CDTF">2026-03-20T12:47:15.425Z</dcterms:modified>
</cp:coreProperties>
</file>

<file path=docProps/custom.xml><?xml version="1.0" encoding="utf-8"?>
<Properties xmlns="http://schemas.openxmlformats.org/officeDocument/2006/custom-properties" xmlns:vt="http://schemas.openxmlformats.org/officeDocument/2006/docPropsVTypes"/>
</file>