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Discovery | Falha de Backup - Telecom</w:t>
      </w:r>
    </w:p>
    <w:p>
      <w:r>
        <w:t>Mapeamento inicial do KB0129466 e dos incidentes ServiceNow | R4 - outubro/2026</w:t>
      </w:r>
    </w:p>
    <w:p>
      <w:pPr>
        <w:pStyle w:val="Heading1"/>
      </w:pPr>
      <w:r>
        <w:t>1. Objetivo e escopo</w:t>
      </w:r>
    </w:p>
    <w:p>
      <w:r>
        <w:t>Automatizar no Ansible Automation Platform (AAP) o diagnóstico, as correções seguras e previamente aprovadas, a validação de novo backup no ItaúMon e, quando comprovado o sucesso, a atualização e o encerramento do incidente no ServiceNow. A R4 prioriza falha de backup; Links com Falhas permanece para a próxima release.</w:t>
      </w:r>
    </w:p>
    <w:p>
      <w:pPr>
        <w:pStyle w:val="Heading1"/>
      </w:pPr>
      <w:r>
        <w:t>2. Processo operacional descrito no KB</w:t>
      </w:r>
    </w:p>
    <w:p>
      <w:pPr>
        <w:pStyle w:val="ListNumber"/>
      </w:pPr>
      <w:r>
        <w:t>ItaúMon verifica diariamente o campo “Último backup concluído”; quando identifica defasagem de aproximadamente D-3, gera alerta e incidente integrado ao ServiceNow.</w:t>
      </w:r>
    </w:p>
    <w:p>
      <w:pPr>
        <w:pStyle w:val="ListNumber"/>
      </w:pPr>
      <w:r>
        <w:t>Consultar mudanças recentes (3 a 4 dias) relacionadas ao equipamento e avaliar possível impacto.</w:t>
      </w:r>
    </w:p>
    <w:p>
      <w:pPr>
        <w:pStyle w:val="ListNumber"/>
      </w:pPr>
      <w:r>
        <w:t>Conferir se o método de autenticação configurado no ItaúMon corresponde ao efetivamente utilizado pelo equipamento (TACACS ou offline).</w:t>
      </w:r>
    </w:p>
    <w:p>
      <w:pPr>
        <w:pStyle w:val="ListNumber"/>
      </w:pPr>
      <w:r>
        <w:t>Verificar se SCP/SCP-server está habilitado, conforme fabricante e sistema operacional (Cisco IOS, NX-OS, ASA e Huawei).</w:t>
      </w:r>
    </w:p>
    <w:p>
      <w:pPr>
        <w:pStyle w:val="ListNumber"/>
      </w:pPr>
      <w:r>
        <w:t>Verificar espaço disponível na flash; exclusões de arquivos só com autorização operacional e análise de segurança.</w:t>
      </w:r>
    </w:p>
    <w:p>
      <w:pPr>
        <w:pStyle w:val="ListNumber"/>
      </w:pPr>
      <w:r>
        <w:t>Após correção, solicitar backup pelo ItaúMon, confirmar mensagem de sucesso e atualizar a data de último backup.</w:t>
      </w:r>
    </w:p>
    <w:p>
      <w:pPr>
        <w:pStyle w:val="ListNumber"/>
      </w:pPr>
      <w:r>
        <w:t>Registrar causa, solução e evidências no ServiceNow; encerrar somente após validação positiva.</w:t>
      </w:r>
    </w:p>
    <w:p>
      <w:pPr>
        <w:pStyle w:val="Heading1"/>
      </w:pPr>
      <w:r>
        <w:t>3. O que os incidentes mostram</w:t>
      </w:r>
    </w:p>
    <w:p>
      <w:r>
        <w:t>Fila observada: origem ITAUMON CORPORATIVO EVENTOS, descrição resumida FALHA DE BACKUP, grupo Operacao Telecom e estados Novo / Em andamento / Em espera. Os exemplos mostram principalmente prioridades P4 e P5; não inferir elegibilidade automática sem validação.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Dado disponível</w:t>
            </w:r>
          </w:p>
        </w:tc>
        <w:tc>
          <w:tcPr>
            <w:tcW w:type="dxa" w:w="4320"/>
          </w:tcPr>
          <w:p>
            <w:r>
              <w:t>Possível uso na automação</w:t>
            </w:r>
          </w:p>
        </w:tc>
      </w:tr>
      <w:tr>
        <w:tc>
          <w:tcPr>
            <w:tcW w:type="dxa" w:w="4320"/>
          </w:tcPr>
          <w:p>
            <w:r>
              <w:t>Número do incidente</w:t>
            </w:r>
          </w:p>
        </w:tc>
        <w:tc>
          <w:tcPr>
            <w:tcW w:type="dxa" w:w="4320"/>
          </w:tcPr>
          <w:p>
            <w:r>
              <w:t>Correlação e retorno ServiceNow</w:t>
            </w:r>
          </w:p>
        </w:tc>
      </w:tr>
      <w:tr>
        <w:tc>
          <w:tcPr>
            <w:tcW w:type="dxa" w:w="4320"/>
          </w:tcPr>
          <w:p>
            <w:r>
              <w:t>Hostname, IP, item de configuração</w:t>
            </w:r>
          </w:p>
        </w:tc>
        <w:tc>
          <w:tcPr>
            <w:tcW w:type="dxa" w:w="4320"/>
          </w:tcPr>
          <w:p>
            <w:r>
              <w:t>Identificação, inventário e conexão</w:t>
            </w:r>
          </w:p>
        </w:tc>
      </w:tr>
      <w:tr>
        <w:tc>
          <w:tcPr>
            <w:tcW w:type="dxa" w:w="4320"/>
          </w:tcPr>
          <w:p>
            <w:r>
              <w:t>Origem, grupo, descrição resumida</w:t>
            </w:r>
          </w:p>
        </w:tc>
        <w:tc>
          <w:tcPr>
            <w:tcW w:type="dxa" w:w="4320"/>
          </w:tcPr>
          <w:p>
            <w:r>
              <w:t>Filtro e elegibilidade</w:t>
            </w:r>
          </w:p>
        </w:tc>
      </w:tr>
      <w:tr>
        <w:tc>
          <w:tcPr>
            <w:tcW w:type="dxa" w:w="4320"/>
          </w:tcPr>
          <w:p>
            <w:r>
              <w:t>Prioridade, impacto, urgência</w:t>
            </w:r>
          </w:p>
        </w:tc>
        <w:tc>
          <w:tcPr>
            <w:tcW w:type="dxa" w:w="4320"/>
          </w:tcPr>
          <w:p>
            <w:r>
              <w:t>Restrições e roteamento</w:t>
            </w:r>
          </w:p>
        </w:tc>
      </w:tr>
      <w:tr>
        <w:tc>
          <w:tcPr>
            <w:tcW w:type="dxa" w:w="4320"/>
          </w:tcPr>
          <w:p>
            <w:r>
              <w:t>Informação adicional: equip_id, evento_id_0_0, kb_number, monitoring_tool</w:t>
            </w:r>
          </w:p>
        </w:tc>
        <w:tc>
          <w:tcPr>
            <w:tcW w:type="dxa" w:w="4320"/>
          </w:tcPr>
          <w:p>
            <w:r>
              <w:t>Correlação com ItaúMon, KB e evento</w:t>
            </w:r>
          </w:p>
        </w:tc>
      </w:tr>
    </w:tbl>
    <w:p>
      <w:r>
        <w:t>Os dados de “Informação adicional” aparecem em estrutura semelhante a JSON. É necessário confirmar formato, obrigatoriedade, tipos e confiabilidade dos campos antes de definir o contrato de entrada.</w:t>
      </w:r>
    </w:p>
    <w:p>
      <w:pPr>
        <w:pStyle w:val="Heading1"/>
      </w:pPr>
      <w:r>
        <w:t>4. Descoberta relevante no histórico</w:t>
      </w:r>
    </w:p>
    <w:p>
      <w:r>
        <w:t>Um incidente exibe: “Incidente sem automação cadastrada ou de prioridade P1”, “Automação indisponível, seguir com tratativa manual” e “Playbook: ITOM - PI e Automações (Telecom)”. Isso indica possível mecanismo pré-existente de avaliação/encaminhamento, mas não comprova integração AAP nem automação de backup. Investigar proprietário, gatilho, cadastro e possibilidade de reaproveitamento.</w:t>
      </w:r>
    </w:p>
    <w:p>
      <w:pPr>
        <w:pStyle w:val="Heading1"/>
      </w:pPr>
      <w:r>
        <w:t>5. Fluxo técnico preliminar (a validar)</w:t>
      </w:r>
    </w:p>
    <w:p>
      <w:r>
        <w:t>ItaúMon (alerta) → ServiceNow (incidente) → mecanismo de acionamento a confirmar → AAP (elegibilidade, inventário, diagnóstico) → correção aprovada ou escalonamento → ItaúMon (novo backup e evidência) → ServiceNow (work notes, resolução/encerramento quando autorizado).</w:t>
      </w:r>
    </w:p>
    <w:p>
      <w:pPr>
        <w:pStyle w:val="Heading1"/>
      </w:pPr>
      <w:r>
        <w:t>6. Perguntas para o Eduardo e dependências</w:t>
      </w:r>
    </w:p>
    <w:p>
      <w:pPr>
        <w:pStyle w:val="ListBullet"/>
      </w:pPr>
      <w:r>
        <w:rPr>
          <w:b/>
        </w:rPr>
        <w:t xml:space="preserve">[Alta] Qual causa ocorre com maior frequência e como é diagnosticada? </w:t>
      </w:r>
      <w:r>
        <w:t>— Escolher primeiro cenário entregável.</w:t>
      </w:r>
    </w:p>
    <w:p>
      <w:pPr>
        <w:pStyle w:val="ListBullet"/>
      </w:pPr>
      <w:r>
        <w:rPr>
          <w:b/>
        </w:rPr>
        <w:t xml:space="preserve">[Alta] Como solicitar e consultar o resultado do backup no ItaúMon? Existe API? </w:t>
      </w:r>
      <w:r>
        <w:t>— Viabilizar validação ponta a ponta.</w:t>
      </w:r>
    </w:p>
    <w:p>
      <w:pPr>
        <w:pStyle w:val="ListBullet"/>
      </w:pPr>
      <w:r>
        <w:rPr>
          <w:b/>
        </w:rPr>
        <w:t xml:space="preserve">[Alta] Qual é a evidência objetiva de sucesso e quando o incidente pode ser encerrado? </w:t>
      </w:r>
      <w:r>
        <w:t>— Regra de fechamento segura.</w:t>
      </w:r>
    </w:p>
    <w:p>
      <w:pPr>
        <w:pStyle w:val="ListBullet"/>
      </w:pPr>
      <w:r>
        <w:rPr>
          <w:b/>
        </w:rPr>
        <w:t xml:space="preserve">[Alta] O que significam as mensagens de automação indisponível e o playbook ITOM? </w:t>
      </w:r>
      <w:r>
        <w:t>— Reaproveitar integração existente.</w:t>
      </w:r>
    </w:p>
    <w:p>
      <w:pPr>
        <w:pStyle w:val="ListBullet"/>
      </w:pPr>
      <w:r>
        <w:rPr>
          <w:b/>
        </w:rPr>
        <w:t xml:space="preserve">[Alta] Quais ações são permitidas automaticamente? Há change/aprovação? </w:t>
      </w:r>
      <w:r>
        <w:t>— Limitar riscos de configuração e exclusão.</w:t>
      </w:r>
    </w:p>
    <w:p>
      <w:pPr>
        <w:pStyle w:val="ListBullet"/>
      </w:pPr>
      <w:r>
        <w:rPr>
          <w:b/>
        </w:rPr>
        <w:t xml:space="preserve">[Alta] Quais credenciais, redes, inventários e permissões o AAP terá? </w:t>
      </w:r>
      <w:r>
        <w:t>— Viabilidade técnica.</w:t>
      </w:r>
    </w:p>
    <w:p>
      <w:pPr>
        <w:pStyle w:val="ListBullet"/>
      </w:pPr>
      <w:r>
        <w:rPr>
          <w:b/>
        </w:rPr>
        <w:t xml:space="preserve">[Média] Quais fabricantes/OS e comandos correspondentes predominam? </w:t>
      </w:r>
      <w:r>
        <w:t>— Matriz de suporte e collections.</w:t>
      </w:r>
    </w:p>
    <w:p>
      <w:pPr>
        <w:pStyle w:val="ListBullet"/>
      </w:pPr>
      <w:r>
        <w:rPr>
          <w:b/>
        </w:rPr>
        <w:t xml:space="preserve">[Média] P4 e P5 têm regras distintas? E P1-P3? </w:t>
      </w:r>
      <w:r>
        <w:t>— Elegibilidade.</w:t>
      </w:r>
    </w:p>
    <w:p>
      <w:pPr>
        <w:pStyle w:val="ListBullet"/>
      </w:pPr>
      <w:r>
        <w:rPr>
          <w:b/>
        </w:rPr>
        <w:t xml:space="preserve">[Média] Quando a falha é ligada a mudança, quem assume e qual o fluxo? </w:t>
      </w:r>
      <w:r>
        <w:t>— Exceções e escalonamento.</w:t>
      </w:r>
    </w:p>
    <w:p>
      <w:pPr>
        <w:pStyle w:val="ListBullet"/>
      </w:pPr>
      <w:r>
        <w:rPr>
          <w:b/>
        </w:rPr>
        <w:t xml:space="preserve">[Média] Como registrar causa, solução, work notes e estados no ServiceNow? </w:t>
      </w:r>
      <w:r>
        <w:t>— Contrato de saída.</w:t>
      </w:r>
    </w:p>
    <w:p>
      <w:pPr>
        <w:pStyle w:val="Heading1"/>
      </w:pPr>
      <w:r>
        <w:t>7. Estratégia incremental recomendada</w:t>
      </w:r>
    </w:p>
    <w:p>
      <w:pPr>
        <w:pStyle w:val="ListNumber"/>
      </w:pPr>
      <w:r>
        <w:t>Fase 1: leitura do incidente, validação de dados, inventário, conectividade e diagnósticos somente leitura.</w:t>
      </w:r>
    </w:p>
    <w:p>
      <w:pPr>
        <w:pStyle w:val="ListNumber"/>
      </w:pPr>
      <w:r>
        <w:t>Fase 2: classificar causa e implementar uma correção de baixo risco, aprovada pela operação, com tratamento de exceções.</w:t>
      </w:r>
    </w:p>
    <w:p>
      <w:pPr>
        <w:pStyle w:val="ListNumber"/>
      </w:pPr>
      <w:r>
        <w:t>Fase 3: acionar e verificar backup no ItaúMon; retornar evidências e encerrar apenas se o sucesso estiver comprovado e o fechamento for permitido.</w:t>
      </w:r>
    </w:p>
    <w:p>
      <w:pPr>
        <w:pStyle w:val="ListNumber"/>
      </w:pPr>
      <w:r>
        <w:t>Demais casos: registrar diagnóstico e encaminhar à operação, sem executar mudanças destrutivas.</w:t>
      </w:r>
    </w:p>
    <w:p>
      <w:pPr>
        <w:pStyle w:val="Heading1"/>
      </w:pPr>
      <w:r>
        <w:t>8. Pendências antes do desenvolvimento</w:t>
      </w:r>
    </w:p>
    <w:p>
      <w:r>
        <w:t>Confirmar acionamento AAP↔ServiceNow, API/integração ItaúMon, modelo de inventário, credenciais e SSH, matriz fabricante/OS, critérios de elegibilidade, ações autorizadas, evidências de backup, campos obrigatórios de resolução e ambientes de teste. Não assumir que o KB descreve todos os casos reais.</w:t>
      </w:r>
    </w:p>
    <w:p>
      <w:pPr>
        <w:pStyle w:val="Caption"/>
      </w:pPr>
      <w:r>
        <w:t>Status: discovery inicial baseado no KB e em capturas de incidentes; regras operacionais e arquitetura ainda sujeitas à validação com Eduardo e equipes responsáveis.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2D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2D52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E2D52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