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Roadmap de Evolução - Automações de Telecom</w:t>
      </w:r>
    </w:p>
    <w:p>
      <w:pPr>
        <w:jc w:val="center"/>
      </w:pPr>
      <w:r>
        <w:rPr>
          <w:i/>
          <w:sz w:val="24"/>
        </w:rPr>
        <w:t>Release 4 | Assessment, arquitetura e próximos passos</w:t>
      </w:r>
    </w:p>
    <w:p>
      <w:r>
        <w:t>Objetivo: estruturar a evolução das automações de incidentes de Telecom com foco em qualidade, rastreabilidade e reutilização, usando o BADLINK-LAN como primeiro fluxo de referência end-to-end.</w:t>
      </w:r>
    </w:p>
    <w:p>
      <w:pPr>
        <w:pStyle w:val="Heading1"/>
      </w:pPr>
      <w:r>
        <w:t>1. Contexto atual</w:t>
      </w:r>
    </w:p>
    <w:p>
      <w:pPr>
        <w:pStyle w:val="ListBullet"/>
      </w:pPr>
      <w:r>
        <w:t>O backlog de Telecom possui diversos tipos de incidentes relacionados a links, protocolos, disponibilidade e capacidade.</w:t>
      </w:r>
    </w:p>
    <w:p>
      <w:pPr>
        <w:pStyle w:val="ListBullet"/>
      </w:pPr>
      <w:r>
        <w:t>Parte das automações está no AAP/Ansible, enquanto outros fluxos permanecem no Flow Designer do ServiceNow.</w:t>
      </w:r>
    </w:p>
    <w:p>
      <w:pPr>
        <w:pStyle w:val="ListBullet"/>
      </w:pPr>
      <w:r>
        <w:t>A R4 não deve ser tratada como uma migração em massa. O direcionamento é priorizar entregas bem estruturadas e tecnicamente validadas.</w:t>
      </w:r>
    </w:p>
    <w:p>
      <w:pPr>
        <w:pStyle w:val="ListBullet"/>
      </w:pPr>
      <w:r>
        <w:t>BADLINK-LAN foi definido como primeira prioridade. O próximo item será selecionado conforme volumetria, impacto, maturidade do discovery e capacidade da release.</w:t>
      </w:r>
    </w:p>
    <w:p>
      <w:pPr>
        <w:pStyle w:val="Heading1"/>
      </w:pPr>
      <w:r>
        <w:t>2. Estratégia de trabalho</w:t>
      </w:r>
    </w:p>
    <w:p>
      <w:r>
        <w:t>Antes de decidir pela migração de qualquer automação, cada fluxo será entendido no estado atual (AS-IS), suas dependências serão levantadas e somente então será desenhado o estado alvo (TO-BE). Nem todo fluxo necessariamente precisa sair do ServiceNow: a decisão deve considerar responsabilidade, integrações, capacidade de diagnóstico, governança e benefício operacional.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Etapa</w:t>
            </w:r>
          </w:p>
        </w:tc>
        <w:tc>
          <w:tcPr>
            <w:tcW w:type="dxa" w:w="5040"/>
          </w:tcPr>
          <w:p>
            <w:r>
              <w:t>Resultado esperado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1. Discovery</w:t>
            </w:r>
          </w:p>
        </w:tc>
        <w:tc>
          <w:tcPr>
            <w:tcW w:type="dxa" w:w="5040"/>
            <w:vAlign w:val="center"/>
          </w:tcPr>
          <w:p>
            <w:r>
              <w:t>Entender processo atual, responsáveis, regras, entradas, saídas, integrações, tratamento manual, exceções e pontos de falha.</w:t>
            </w:r>
          </w:p>
        </w:tc>
      </w:tr>
      <w:tr>
        <w:tc>
          <w:tcPr>
            <w:tcW w:type="dxa" w:w="5040"/>
            <w:vAlign w:val="center"/>
          </w:tcPr>
          <w:p>
            <w:r>
              <w:t>2. AS-IS</w:t>
            </w:r>
          </w:p>
        </w:tc>
        <w:tc>
          <w:tcPr>
            <w:tcW w:type="dxa" w:w="5040"/>
            <w:vAlign w:val="center"/>
          </w:tcPr>
          <w:p>
            <w:r>
              <w:t>Desenhar o fluxo atual ponta a ponta, incluindo ServiceNow, AAP, APIs, equipamentos, bases auxiliares e dependências.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3. Análise de gaps</w:t>
            </w:r>
          </w:p>
        </w:tc>
        <w:tc>
          <w:tcPr>
            <w:tcW w:type="dxa" w:w="5040"/>
            <w:vAlign w:val="center"/>
          </w:tcPr>
          <w:p>
            <w:r>
              <w:t>Identificar gargalos, duplicidades, etapas manuais, fragilidades, baixa observabilidade e oportunidades de reutilização.</w:t>
            </w:r>
          </w:p>
        </w:tc>
      </w:tr>
      <w:tr>
        <w:tc>
          <w:tcPr>
            <w:tcW w:type="dxa" w:w="5040"/>
            <w:vAlign w:val="center"/>
          </w:tcPr>
          <w:p>
            <w:r>
              <w:t>4. TO-BE</w:t>
            </w:r>
          </w:p>
        </w:tc>
        <w:tc>
          <w:tcPr>
            <w:tcW w:type="dxa" w:w="5040"/>
            <w:vAlign w:val="center"/>
          </w:tcPr>
          <w:p>
            <w:r>
              <w:t>Definir a arquitetura alvo e a responsabilidade de cada plataforma, sem assumir previamente que tudo será migrado para o AAP.</w:t>
            </w:r>
          </w:p>
        </w:tc>
      </w:tr>
      <w:tr>
        <w:tc>
          <w:tcPr>
            <w:tcW w:type="dxa" w:w="5040"/>
            <w:vAlign w:val="center"/>
          </w:tcPr>
          <w:p>
            <w:r>
              <w:t>5. Priorização</w:t>
            </w:r>
          </w:p>
        </w:tc>
        <w:tc>
          <w:tcPr>
            <w:tcW w:type="dxa" w:w="5040"/>
            <w:vAlign w:val="center"/>
          </w:tcPr>
          <w:p>
            <w:r>
              <w:t>Ordenar automações por volumetria, impacto, esforço, risco, dependências e potencial de horas salvas.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6. Implementação / refactor</w:t>
            </w:r>
          </w:p>
        </w:tc>
        <w:tc>
          <w:tcPr>
            <w:tcW w:type="dxa" w:w="5040"/>
            <w:vAlign w:val="center"/>
          </w:tcPr>
          <w:p>
            <w:r>
              <w:t>Construir ou refatorar roles, playbooks e integrações seguindo contratos de entrada/saída e padrões reutilizáveis.</w:t>
            </w:r>
          </w:p>
        </w:tc>
      </w:tr>
      <w:tr>
        <w:tc>
          <w:tcPr>
            <w:tcW w:type="dxa" w:w="5040"/>
            <w:vAlign w:val="center"/>
          </w:tcPr>
          <w:p>
            <w:r>
              <w:t>7. Testes E2E</w:t>
            </w:r>
          </w:p>
        </w:tc>
        <w:tc>
          <w:tcPr>
            <w:tcW w:type="dxa" w:w="5040"/>
            <w:vAlign w:val="center"/>
          </w:tcPr>
          <w:p>
            <w:r>
              <w:t>Validar cenários positivos, negativos, falhas de conexão, decisões do incidente e atualização no ServiceNow.</w:t>
            </w:r>
          </w:p>
        </w:tc>
      </w:tr>
      <w:tr>
        <w:tc>
          <w:tcPr>
            <w:tcW w:type="dxa" w:w="5040"/>
            <w:vAlign w:val="center"/>
          </w:tcPr>
          <w:p>
            <w:r>
              <w:t>8. Documentação</w:t>
            </w:r>
          </w:p>
        </w:tc>
        <w:tc>
          <w:tcPr>
            <w:tcW w:type="dxa" w:w="5040"/>
            <w:vAlign w:val="center"/>
          </w:tcPr>
          <w:p>
            <w:r>
              <w:t>Registrar arquitetura, contratos, regras, evidências, troubleshooting, critérios de aceite e lições aprendidas.</w:t>
            </w:r>
          </w:p>
        </w:tc>
      </w:tr>
    </w:tbl>
    <w:p>
      <w:pPr>
        <w:pStyle w:val="Heading1"/>
      </w:pPr>
      <w:r>
        <w:t>3. BADLINK-LAN - fluxo de referência da R4</w:t>
      </w:r>
    </w:p>
    <w:p>
      <w:r>
        <w:t>O BADLINK-LAN será usado como primeiro blueprint técnico de Telecom. O objetivo não é apenas fazê-lo executar, mas fechar o fluxo end-to-end com contratos claros, tratamento consistente de falhas e comportamento previsível.</w:t>
      </w:r>
    </w:p>
    <w:p>
      <w:pPr>
        <w:pStyle w:val="ListBullet"/>
      </w:pPr>
      <w:r>
        <w:t>Consulta ao ItaúMon: consolidar o contrato retornado pela consulta e garantir dados suficientes para a decisão.</w:t>
      </w:r>
    </w:p>
    <w:p>
      <w:pPr>
        <w:pStyle w:val="ListBullet"/>
      </w:pPr>
      <w:r>
        <w:t>Elegibilidade LAN/WAN: classificar explicitamente o link e impedir que um caso WAN siga indevidamente pelo fluxo LAN.</w:t>
      </w:r>
    </w:p>
    <w:p>
      <w:pPr>
        <w:pStyle w:val="ListBullet"/>
      </w:pPr>
      <w:r>
        <w:t>Diagnóstico no equipamento: executar a coleta adequada ao fabricante e consolidar o estado real da interface.</w:t>
      </w:r>
    </w:p>
    <w:p>
      <w:pPr>
        <w:pStyle w:val="ListBullet"/>
      </w:pPr>
      <w:r>
        <w:t>Classificação e decisão: transformar a coleta em um estado funcional e definir se o incidente deve ser encerrado, mantido aberto ou encaminhado para análise.</w:t>
      </w:r>
    </w:p>
    <w:p>
      <w:pPr>
        <w:pStyle w:val="ListBullet"/>
      </w:pPr>
      <w:r>
        <w:t>Tratamento de falhas: diferenciar falha de automação, conectividade, autenticação, comando inválido e diagnóstico inconclusivo.</w:t>
      </w:r>
    </w:p>
    <w:p>
      <w:pPr>
        <w:pStyle w:val="ListBullet"/>
      </w:pPr>
      <w:r>
        <w:t>ServiceNow: padronizar work notes, estado, assignment group, fechamento e demais informações devolvidas ao incidente.</w:t>
      </w:r>
    </w:p>
    <w:p>
      <w:pPr>
        <w:pStyle w:val="ListBullet"/>
      </w:pPr>
      <w:r>
        <w:t>Validação: executar testes isolados e E2E para cenários de sucesso e falha.</w:t>
      </w:r>
    </w:p>
    <w:p>
      <w:r>
        <w:t>Avanço já realizado: consulta ao ItaúMon e elegibilidade foram refatoradas e testadas de forma isolada e dentro do workflow. O fluxo BADLINK também já possui estrutura de diagnóstico, classificação, decisão e consolidação de resultados, que será revisada e validada no fechamento end-to-end.</w:t>
      </w:r>
    </w:p>
    <w:p>
      <w:pPr>
        <w:pStyle w:val="Heading1"/>
      </w:pPr>
      <w:r>
        <w:t>4. Roadmap proposto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Fase</w:t>
            </w:r>
          </w:p>
        </w:tc>
        <w:tc>
          <w:tcPr>
            <w:tcW w:type="dxa" w:w="3360"/>
          </w:tcPr>
          <w:p>
            <w:r>
              <w:t>Momento</w:t>
            </w:r>
          </w:p>
        </w:tc>
        <w:tc>
          <w:tcPr>
            <w:tcW w:type="dxa" w:w="3360"/>
          </w:tcPr>
          <w:p>
            <w:r>
              <w:t>Entregável</w:t>
            </w:r>
          </w:p>
        </w:tc>
      </w:tr>
      <w:tr>
        <w:tc>
          <w:tcPr>
            <w:tcW w:type="dxa" w:w="3360"/>
          </w:tcPr>
          <w:p>
            <w:r>
              <w:t>Fase 1 - Fechar BADLINK-LAN</w:t>
            </w:r>
          </w:p>
        </w:tc>
        <w:tc>
          <w:tcPr>
            <w:tcW w:type="dxa" w:w="3360"/>
          </w:tcPr>
          <w:p>
            <w:r>
              <w:t>R4 - prioridade</w:t>
            </w:r>
          </w:p>
        </w:tc>
        <w:tc>
          <w:tcPr>
            <w:tcW w:type="dxa" w:w="3360"/>
          </w:tcPr>
          <w:p>
            <w:r>
              <w:t>Concluir fluxo E2E, revisar contratos, falhas, ServiceNow, testes e documentação.</w:t>
            </w:r>
          </w:p>
        </w:tc>
      </w:tr>
      <w:tr>
        <w:tc>
          <w:tcPr>
            <w:tcW w:type="dxa" w:w="3360"/>
          </w:tcPr>
          <w:p>
            <w:r>
              <w:t>Fase 2 - Blueprint Telecom</w:t>
            </w:r>
          </w:p>
        </w:tc>
        <w:tc>
          <w:tcPr>
            <w:tcW w:type="dxa" w:w="3360"/>
          </w:tcPr>
          <w:p>
            <w:r>
              <w:t>Durante BADLINK</w:t>
            </w:r>
          </w:p>
        </w:tc>
        <w:tc>
          <w:tcPr>
            <w:tcW w:type="dxa" w:w="3360"/>
          </w:tcPr>
          <w:p>
            <w:r>
              <w:t>Extrair padrões reutilizáveis: integração, work notes, retorno para workflow, tratamento de erro, testes e observabilidade.</w:t>
            </w:r>
          </w:p>
        </w:tc>
      </w:tr>
      <w:tr>
        <w:tc>
          <w:tcPr>
            <w:tcW w:type="dxa" w:w="3360"/>
          </w:tcPr>
          <w:p>
            <w:r>
              <w:t>Fase 3 - Discovery do backlog</w:t>
            </w:r>
          </w:p>
        </w:tc>
        <w:tc>
          <w:tcPr>
            <w:tcW w:type="dxa" w:w="3360"/>
          </w:tcPr>
          <w:p>
            <w:r>
              <w:t>Paralelo / incremental</w:t>
            </w:r>
          </w:p>
        </w:tc>
        <w:tc>
          <w:tcPr>
            <w:tcW w:type="dxa" w:w="3360"/>
          </w:tcPr>
          <w:p>
            <w:r>
              <w:t>Mapear AS-IS das demais automações e validar processo com operação e responsáveis técnicos.</w:t>
            </w:r>
          </w:p>
        </w:tc>
      </w:tr>
      <w:tr>
        <w:tc>
          <w:tcPr>
            <w:tcW w:type="dxa" w:w="3360"/>
          </w:tcPr>
          <w:p>
            <w:r>
              <w:t>Fase 4 - Priorização</w:t>
            </w:r>
          </w:p>
        </w:tc>
        <w:tc>
          <w:tcPr>
            <w:tcW w:type="dxa" w:w="3360"/>
          </w:tcPr>
          <w:p>
            <w:r>
              <w:t>Após discovery mínimo</w:t>
            </w:r>
          </w:p>
        </w:tc>
        <w:tc>
          <w:tcPr>
            <w:tcW w:type="dxa" w:w="3360"/>
          </w:tcPr>
          <w:p>
            <w:r>
              <w:t>Cruzar volumetria, tempo manual, impacto, complexidade e dependências para definir a próxima automação.</w:t>
            </w:r>
          </w:p>
        </w:tc>
      </w:tr>
      <w:tr>
        <w:tc>
          <w:tcPr>
            <w:tcW w:type="dxa" w:w="3360"/>
          </w:tcPr>
          <w:p>
            <w:r>
              <w:t>Fase 5 - Segundo ofensor</w:t>
            </w:r>
          </w:p>
        </w:tc>
        <w:tc>
          <w:tcPr>
            <w:tcW w:type="dxa" w:w="3360"/>
          </w:tcPr>
          <w:p>
            <w:r>
              <w:t>Conforme capacidade da R4</w:t>
            </w:r>
          </w:p>
        </w:tc>
        <w:tc>
          <w:tcPr>
            <w:tcW w:type="dxa" w:w="3360"/>
          </w:tcPr>
          <w:p>
            <w:r>
              <w:t>Aplicar o blueprint validado e adaptar apenas o que for específico do novo caso.</w:t>
            </w:r>
          </w:p>
        </w:tc>
      </w:tr>
      <w:tr>
        <w:tc>
          <w:tcPr>
            <w:tcW w:type="dxa" w:w="3360"/>
          </w:tcPr>
          <w:p>
            <w:r>
              <w:t>Fase 6 - Escala</w:t>
            </w:r>
          </w:p>
        </w:tc>
        <w:tc>
          <w:tcPr>
            <w:tcW w:type="dxa" w:w="3360"/>
          </w:tcPr>
          <w:p>
            <w:r>
              <w:t>Próximas releases</w:t>
            </w:r>
          </w:p>
        </w:tc>
        <w:tc>
          <w:tcPr>
            <w:tcW w:type="dxa" w:w="3360"/>
          </w:tcPr>
          <w:p>
            <w:r>
              <w:t>Evoluir o backlog de forma incremental, medindo sucesso, horas salvas, taxa de resolução e falhas.</w:t>
            </w:r>
          </w:p>
        </w:tc>
      </w:tr>
    </w:tbl>
    <w:p>
      <w:pPr>
        <w:pStyle w:val="Heading1"/>
      </w:pPr>
      <w:r>
        <w:t>5. Critérios para priorização das próximas automações</w:t>
      </w:r>
    </w:p>
    <w:p>
      <w:pPr>
        <w:pStyle w:val="ListBullet"/>
      </w:pPr>
      <w:r>
        <w:t>Volumetria de incidentes e recorrência.</w:t>
      </w:r>
    </w:p>
    <w:p>
      <w:pPr>
        <w:pStyle w:val="ListBullet"/>
      </w:pPr>
      <w:r>
        <w:t>Tempo médio de tratamento manual e potencial de horas salvas.</w:t>
      </w:r>
    </w:p>
    <w:p>
      <w:pPr>
        <w:pStyle w:val="ListBullet"/>
      </w:pPr>
      <w:r>
        <w:t>Impacto operacional e criticidade.</w:t>
      </w:r>
    </w:p>
    <w:p>
      <w:pPr>
        <w:pStyle w:val="ListBullet"/>
      </w:pPr>
      <w:r>
        <w:t>Complexidade técnica e quantidade de dependências.</w:t>
      </w:r>
    </w:p>
    <w:p>
      <w:pPr>
        <w:pStyle w:val="ListBullet"/>
      </w:pPr>
      <w:r>
        <w:t>Maturidade do fluxo atual e disponibilidade de especialistas da operação.</w:t>
      </w:r>
    </w:p>
    <w:p>
      <w:pPr>
        <w:pStyle w:val="ListBullet"/>
      </w:pPr>
      <w:r>
        <w:t>Potencial de reutilização do blueprint criado no BADLINK.</w:t>
      </w:r>
    </w:p>
    <w:p>
      <w:pPr>
        <w:pStyle w:val="ListBullet"/>
      </w:pPr>
      <w:r>
        <w:t>Risco de automação e necessidade de intervenção humana.</w:t>
      </w:r>
    </w:p>
    <w:p>
      <w:pPr>
        <w:pStyle w:val="Heading1"/>
      </w:pPr>
      <w:r>
        <w:t>6. Como calcular horas salvas</w:t>
      </w:r>
    </w:p>
    <w:p>
      <w:r>
        <w:t>Horas salvas não devem ser inferidas a partir do esforço de desenvolvimento. A métrica precisa representar o trabalho operacional efetivamente evitado.</w:t>
      </w:r>
    </w:p>
    <w:p>
      <w:r>
        <w:rPr>
          <w:b/>
        </w:rPr>
        <w:t xml:space="preserve">Fórmula de referência: </w:t>
      </w:r>
      <w:r>
        <w:t>Horas salvas = volumetria automatizável × tempo manual médio por incidente × percentual efetivamente automatizado.</w:t>
      </w:r>
    </w:p>
    <w:p>
      <w:r>
        <w:t>Para tornar a estimativa defensável, é necessário validar com a operação o tempo médio de tratamento manual, o período da volumetria e a taxa real de resolução automática.</w:t>
      </w:r>
    </w:p>
    <w:p>
      <w:pPr>
        <w:pStyle w:val="Heading1"/>
      </w:pPr>
      <w:r>
        <w:t>7. Entregáveis esperados</w:t>
      </w:r>
    </w:p>
    <w:p>
      <w:pPr>
        <w:pStyle w:val="ListBullet"/>
      </w:pPr>
      <w:r>
        <w:t>BADLINK-LAN validado end-to-end no AAP.</w:t>
      </w:r>
    </w:p>
    <w:p>
      <w:pPr>
        <w:pStyle w:val="ListBullet"/>
      </w:pPr>
      <w:r>
        <w:t>Desenho AS-IS e TO-BE do fluxo.</w:t>
      </w:r>
    </w:p>
    <w:p>
      <w:pPr>
        <w:pStyle w:val="ListBullet"/>
      </w:pPr>
      <w:r>
        <w:t>Blueprint técnico reutilizável para automações de Telecom.</w:t>
      </w:r>
    </w:p>
    <w:p>
      <w:pPr>
        <w:pStyle w:val="ListBullet"/>
      </w:pPr>
      <w:r>
        <w:t>Padrão de contratos entre jobs/roles e retorno ao workflow.</w:t>
      </w:r>
    </w:p>
    <w:p>
      <w:pPr>
        <w:pStyle w:val="ListBullet"/>
      </w:pPr>
      <w:r>
        <w:t>Catálogo de categorias de falha e comportamento esperado.</w:t>
      </w:r>
    </w:p>
    <w:p>
      <w:pPr>
        <w:pStyle w:val="ListBullet"/>
      </w:pPr>
      <w:r>
        <w:t>Plano de testes e evidências de execução.</w:t>
      </w:r>
    </w:p>
    <w:p>
      <w:pPr>
        <w:pStyle w:val="ListBullet"/>
      </w:pPr>
      <w:r>
        <w:t>Documentação operacional e troubleshooting.</w:t>
      </w:r>
    </w:p>
    <w:p>
      <w:pPr>
        <w:pStyle w:val="ListBullet"/>
      </w:pPr>
      <w:r>
        <w:t>Backlog priorizado com esforço preliminar e potencial de horas salvas.</w:t>
      </w:r>
    </w:p>
    <w:p>
      <w:pPr>
        <w:pStyle w:val="ListBullet"/>
      </w:pPr>
      <w:r>
        <w:t>Recomendação arquitetural para cada fluxo: manter, integrar, refatorar ou migrar.</w:t>
      </w:r>
    </w:p>
    <w:p>
      <w:pPr>
        <w:pStyle w:val="Heading1"/>
      </w:pPr>
      <w:r>
        <w:t>8. Próximos passos imediatos</w:t>
      </w:r>
    </w:p>
    <w:p>
      <w:r>
        <w:t>1. Fechar o entendimento do BADLINK-LAN ponta a ponta e revisar o que ainda falta no workflow.</w:t>
      </w:r>
    </w:p>
    <w:p>
      <w:r>
        <w:t>2. Validar cenários LAN/WAN e os contratos entre consulta, elegibilidade, diagnóstico e decisão.</w:t>
      </w:r>
    </w:p>
    <w:p>
      <w:r>
        <w:t>3. Revisar tratamento de falhas e comportamento do incidente em cada cenário.</w:t>
      </w:r>
    </w:p>
    <w:p>
      <w:r>
        <w:t>4. Executar bateria de testes E2E e registrar evidências.</w:t>
      </w:r>
    </w:p>
    <w:p>
      <w:r>
        <w:t>5. Documentar o BADLINK como primeiro blueprint de Telecom.</w:t>
      </w:r>
    </w:p>
    <w:p>
      <w:r>
        <w:t>6. Iniciar discovery do próximo maior ofensor com apoio da operação.</w:t>
      </w:r>
    </w:p>
    <w:p>
      <w:r>
        <w:t>7. Levantar tempo médio manual para cálculo de horas salvas.</w:t>
      </w:r>
    </w:p>
    <w:p>
      <w:r>
        <w:t>8. Atualizar o backlog e a planilha do PO com estimativas progressivamente refinadas.</w:t>
      </w:r>
    </w:p>
    <w:p>
      <w:pPr>
        <w:pStyle w:val="Heading1"/>
      </w:pPr>
      <w:r>
        <w:t>9. Mensagem executiva</w:t>
      </w:r>
    </w:p>
    <w:p>
      <w:r>
        <w:rPr>
          <w:b/>
        </w:rPr>
        <w:t>A R4 será conduzida como uma evolução estruturada das automações de Telecom, e não como uma migração em massa. O BADLINK-LAN será o primeiro fluxo de referência, permitindo validar arquitetura, padrões, integrações e critérios de qualidade. A partir desse aprendizado, os demais itens serão descobertos, priorizados e evoluídos de forma incremental, com decisões baseadas em impacto, esforço e ganho operacional.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Projeto Itaú | Telecom - Release 4 | Roadmap de trabalho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