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210C" w14:textId="77777777" w:rsidR="00246D27" w:rsidRPr="00246D27" w:rsidRDefault="00246D27" w:rsidP="00246D27">
      <w:pPr>
        <w:spacing w:line="540" w:lineRule="atLeast"/>
        <w:textAlignment w:val="top"/>
        <w:outlineLvl w:val="0"/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246D27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>Lexogen</w:t>
      </w:r>
      <w:proofErr w:type="spellEnd"/>
      <w:r w:rsidRPr="00246D27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246D27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>QuantSeq</w:t>
      </w:r>
      <w:proofErr w:type="spellEnd"/>
      <w:r w:rsidRPr="00246D27">
        <w:rPr>
          <w:rFonts w:ascii="open-sans" w:eastAsia="Times New Roman" w:hAnsi="open-sans" w:cs="Times New Roman"/>
          <w:b/>
          <w:bCs/>
          <w:color w:val="000000"/>
          <w:kern w:val="36"/>
          <w:sz w:val="48"/>
          <w:szCs w:val="48"/>
        </w:rPr>
        <w:t xml:space="preserve"> 3'mRNA FWD NGS Library Prep</w:t>
      </w:r>
    </w:p>
    <w:p w14:paraId="3B858AEC" w14:textId="77777777" w:rsidR="00246D27" w:rsidRPr="00246D27" w:rsidRDefault="00246D27" w:rsidP="00246D27">
      <w:pPr>
        <w:outlineLvl w:val="2"/>
        <w:rPr>
          <w:rFonts w:ascii="open-sans" w:eastAsia="Times New Roman" w:hAnsi="open-sans" w:cs="Times New Roman"/>
          <w:color w:val="000000"/>
          <w:sz w:val="21"/>
          <w:szCs w:val="21"/>
        </w:rPr>
      </w:pPr>
      <w:r w:rsidRPr="00246D27">
        <w:rPr>
          <w:rFonts w:ascii="open-sans" w:eastAsia="Times New Roman" w:hAnsi="open-sans" w:cs="Times New Roman"/>
          <w:color w:val="000000"/>
          <w:sz w:val="21"/>
          <w:szCs w:val="21"/>
        </w:rPr>
        <w:t>Author </w:t>
      </w:r>
    </w:p>
    <w:p w14:paraId="0D2F571B" w14:textId="77777777" w:rsidR="00246D27" w:rsidRPr="00246D27" w:rsidRDefault="00246D27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 </w:t>
      </w:r>
    </w:p>
    <w:p w14:paraId="6C2D5257" w14:textId="77777777" w:rsidR="00246D27" w:rsidRPr="00246D27" w:rsidRDefault="00246D27" w:rsidP="00246D27">
      <w:pPr>
        <w:rPr>
          <w:rFonts w:ascii="open-sans" w:eastAsia="Times New Roman" w:hAnsi="open-sans" w:cs="Times New Roman"/>
          <w:color w:val="000000"/>
          <w:sz w:val="21"/>
          <w:szCs w:val="21"/>
        </w:rPr>
      </w:pPr>
      <w:hyperlink r:id="rId5" w:history="1">
        <w:proofErr w:type="spellStart"/>
        <w:r w:rsidRPr="00246D27">
          <w:rPr>
            <w:rFonts w:ascii="open-sans" w:eastAsia="Times New Roman" w:hAnsi="open-sans" w:cs="Times New Roman"/>
            <w:color w:val="4D4D4D"/>
            <w:sz w:val="21"/>
            <w:szCs w:val="21"/>
            <w:u w:val="single"/>
          </w:rPr>
          <w:t>Opentrons</w:t>
        </w:r>
        <w:proofErr w:type="spellEnd"/>
      </w:hyperlink>
    </w:p>
    <w:p w14:paraId="21BCC1E7" w14:textId="77777777" w:rsidR="00246D27" w:rsidRPr="00246D27" w:rsidRDefault="00246D27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This protocol performs the </w:t>
      </w:r>
      <w:proofErr w:type="spellStart"/>
      <w:r w:rsidRPr="00246D27">
        <w:rPr>
          <w:rFonts w:ascii="open-sans" w:eastAsia="Times New Roman" w:hAnsi="open-sans" w:cs="Times New Roman"/>
          <w:color w:val="000000"/>
        </w:rPr>
        <w:fldChar w:fldCharType="begin"/>
      </w:r>
      <w:r w:rsidRPr="00246D27">
        <w:rPr>
          <w:rFonts w:ascii="open-sans" w:eastAsia="Times New Roman" w:hAnsi="open-sans" w:cs="Times New Roman"/>
          <w:color w:val="000000"/>
        </w:rPr>
        <w:instrText xml:space="preserve"> HYPERLINK "https://s3.amazonaws.com/pf-upload-01/u-4256/0/2019-12-09/0313rnd/015UG009V0251_QuantSeq_Illumina.pdf" </w:instrText>
      </w:r>
      <w:r w:rsidRPr="00246D27">
        <w:rPr>
          <w:rFonts w:ascii="open-sans" w:eastAsia="Times New Roman" w:hAnsi="open-sans" w:cs="Times New Roman"/>
          <w:color w:val="000000"/>
        </w:rPr>
        <w:fldChar w:fldCharType="separate"/>
      </w:r>
      <w:r w:rsidRPr="00246D27">
        <w:rPr>
          <w:rFonts w:ascii="open-sans" w:eastAsia="Times New Roman" w:hAnsi="open-sans" w:cs="Times New Roman"/>
          <w:color w:val="0070FF"/>
          <w:u w:val="single"/>
        </w:rPr>
        <w:t>Lexogen</w:t>
      </w:r>
      <w:proofErr w:type="spellEnd"/>
      <w:r w:rsidRPr="00246D27">
        <w:rPr>
          <w:rFonts w:ascii="open-sans" w:eastAsia="Times New Roman" w:hAnsi="open-sans" w:cs="Times New Roman"/>
          <w:color w:val="0070FF"/>
          <w:u w:val="single"/>
        </w:rPr>
        <w:t xml:space="preserve"> </w:t>
      </w:r>
      <w:proofErr w:type="spellStart"/>
      <w:r w:rsidRPr="00246D27">
        <w:rPr>
          <w:rFonts w:ascii="open-sans" w:eastAsia="Times New Roman" w:hAnsi="open-sans" w:cs="Times New Roman"/>
          <w:color w:val="0070FF"/>
          <w:u w:val="single"/>
        </w:rPr>
        <w:t>QuantSeq</w:t>
      </w:r>
      <w:proofErr w:type="spellEnd"/>
      <w:r w:rsidRPr="00246D27">
        <w:rPr>
          <w:rFonts w:ascii="open-sans" w:eastAsia="Times New Roman" w:hAnsi="open-sans" w:cs="Times New Roman"/>
          <w:color w:val="0070FF"/>
          <w:u w:val="single"/>
        </w:rPr>
        <w:t xml:space="preserve"> 3'mRNA FWD NGS library prep</w:t>
      </w:r>
      <w:r w:rsidRPr="00246D27">
        <w:rPr>
          <w:rFonts w:ascii="open-sans" w:eastAsia="Times New Roman" w:hAnsi="open-sans" w:cs="Times New Roman"/>
          <w:color w:val="000000"/>
        </w:rPr>
        <w:fldChar w:fldCharType="end"/>
      </w:r>
      <w:r w:rsidRPr="00246D27">
        <w:rPr>
          <w:rFonts w:ascii="open-sans" w:eastAsia="Times New Roman" w:hAnsi="open-sans" w:cs="Times New Roman"/>
          <w:color w:val="000000"/>
        </w:rPr>
        <w:t> for up to 96 samples.</w:t>
      </w:r>
    </w:p>
    <w:p w14:paraId="61677CC7" w14:textId="77777777" w:rsidR="00246D27" w:rsidRPr="00246D27" w:rsidRDefault="00AA76AD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noProof/>
          <w:color w:val="000000"/>
        </w:rPr>
        <w:pict w14:anchorId="194B780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2AD188" w14:textId="49FC622C" w:rsidR="00246D27" w:rsidRPr="00246D27" w:rsidRDefault="00246D27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fldChar w:fldCharType="begin"/>
      </w:r>
      <w:r w:rsidRPr="00246D27">
        <w:rPr>
          <w:rFonts w:ascii="open-sans" w:eastAsia="Times New Roman" w:hAnsi="open-sans" w:cs="Times New Roman"/>
          <w:color w:val="000000"/>
        </w:rPr>
        <w:instrText xml:space="preserve"> INCLUDEPICTURE "/var/folders/6n/t7qx9ybn2394hsly6_q3c898tq8yzn/T/com.microsoft.Word/WebArchiveCopyPasteTempFiles/materials.png" \* MERGEFORMATINET </w:instrText>
      </w:r>
      <w:r w:rsidRPr="00246D27">
        <w:rPr>
          <w:rFonts w:ascii="open-sans" w:eastAsia="Times New Roman" w:hAnsi="open-sans" w:cs="Times New Roman"/>
          <w:color w:val="000000"/>
        </w:rPr>
        <w:fldChar w:fldCharType="separate"/>
      </w:r>
      <w:r w:rsidRPr="00246D27">
        <w:rPr>
          <w:rFonts w:ascii="open-sans" w:eastAsia="Times New Roman" w:hAnsi="open-sans" w:cs="Times New Roman"/>
          <w:noProof/>
          <w:color w:val="000000"/>
        </w:rPr>
        <w:drawing>
          <wp:inline distT="0" distB="0" distL="0" distR="0" wp14:anchorId="7F489B13" wp14:editId="0CF5BA65">
            <wp:extent cx="1899285" cy="379730"/>
            <wp:effectExtent l="0" t="0" r="0" b="0"/>
            <wp:docPr id="2" name="Picture 2" descr="Materials Ne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rials Need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27">
        <w:rPr>
          <w:rFonts w:ascii="open-sans" w:eastAsia="Times New Roman" w:hAnsi="open-sans" w:cs="Times New Roman"/>
          <w:color w:val="000000"/>
        </w:rPr>
        <w:fldChar w:fldCharType="end"/>
      </w:r>
    </w:p>
    <w:p w14:paraId="37B5362F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7" w:history="1">
        <w:r w:rsidRPr="00246D27">
          <w:rPr>
            <w:rFonts w:ascii="open-sans" w:eastAsia="Times New Roman" w:hAnsi="open-sans" w:cs="Times New Roman"/>
            <w:color w:val="0070FF"/>
            <w:u w:val="single"/>
          </w:rPr>
          <w:t>NEST 0.1mL 96-well PCR plates, full skirt</w:t>
        </w:r>
      </w:hyperlink>
    </w:p>
    <w:p w14:paraId="3DEC7281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8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4-in-1 </w:t>
        </w:r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tuberack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set</w:t>
        </w:r>
      </w:hyperlink>
      <w:r w:rsidRPr="00246D27">
        <w:rPr>
          <w:rFonts w:ascii="open-sans" w:eastAsia="Times New Roman" w:hAnsi="open-sans" w:cs="Times New Roman"/>
          <w:color w:val="000000"/>
        </w:rPr>
        <w:t> with 4x6 insert holding </w:t>
      </w:r>
      <w:hyperlink r:id="rId9" w:history="1">
        <w:r w:rsidRPr="00246D27">
          <w:rPr>
            <w:rFonts w:ascii="open-sans" w:eastAsia="Times New Roman" w:hAnsi="open-sans" w:cs="Times New Roman"/>
            <w:color w:val="0070FF"/>
            <w:u w:val="single"/>
          </w:rPr>
          <w:t>NEST 1.5mL microcentrifuge tubes</w:t>
        </w:r>
      </w:hyperlink>
    </w:p>
    <w:p w14:paraId="32F19901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0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magnetic module</w:t>
        </w:r>
      </w:hyperlink>
    </w:p>
    <w:p w14:paraId="7987828B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1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temperature module</w:t>
        </w:r>
      </w:hyperlink>
      <w:r w:rsidRPr="00246D27">
        <w:rPr>
          <w:rFonts w:ascii="open-sans" w:eastAsia="Times New Roman" w:hAnsi="open-sans" w:cs="Times New Roman"/>
          <w:color w:val="000000"/>
        </w:rPr>
        <w:t> with </w:t>
      </w:r>
      <w:hyperlink r:id="rId12" w:history="1">
        <w:r w:rsidRPr="00246D27">
          <w:rPr>
            <w:rFonts w:ascii="open-sans" w:eastAsia="Times New Roman" w:hAnsi="open-sans" w:cs="Times New Roman"/>
            <w:color w:val="0070FF"/>
            <w:u w:val="single"/>
          </w:rPr>
          <w:t>4x6 aluminum block</w:t>
        </w:r>
      </w:hyperlink>
      <w:r w:rsidRPr="00246D27">
        <w:rPr>
          <w:rFonts w:ascii="open-sans" w:eastAsia="Times New Roman" w:hAnsi="open-sans" w:cs="Times New Roman"/>
          <w:color w:val="000000"/>
        </w:rPr>
        <w:t> holding </w:t>
      </w:r>
      <w:hyperlink r:id="rId13" w:history="1">
        <w:r w:rsidRPr="00246D27">
          <w:rPr>
            <w:rFonts w:ascii="open-sans" w:eastAsia="Times New Roman" w:hAnsi="open-sans" w:cs="Times New Roman"/>
            <w:color w:val="0070FF"/>
            <w:u w:val="single"/>
          </w:rPr>
          <w:t>NEST 1.5mL microcentrifuge tubes</w:t>
        </w:r>
      </w:hyperlink>
    </w:p>
    <w:p w14:paraId="5EA7FDC3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4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P20 GEN2 single-channel electronic pipette</w:t>
        </w:r>
      </w:hyperlink>
    </w:p>
    <w:p w14:paraId="6DBF1800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5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P300 multi-channel electronic pipette</w:t>
        </w:r>
      </w:hyperlink>
    </w:p>
    <w:p w14:paraId="5708A2FF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6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10/20µl </w:t>
        </w:r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tipracks</w:t>
        </w:r>
        <w:proofErr w:type="spellEnd"/>
      </w:hyperlink>
    </w:p>
    <w:p w14:paraId="0161F92A" w14:textId="77777777" w:rsidR="00246D27" w:rsidRPr="00246D27" w:rsidRDefault="00246D27" w:rsidP="00246D27">
      <w:pPr>
        <w:numPr>
          <w:ilvl w:val="0"/>
          <w:numId w:val="1"/>
        </w:numPr>
        <w:ind w:left="0"/>
        <w:rPr>
          <w:rFonts w:ascii="open-sans" w:eastAsia="Times New Roman" w:hAnsi="open-sans" w:cs="Times New Roman"/>
          <w:color w:val="000000"/>
        </w:rPr>
      </w:pPr>
      <w:hyperlink r:id="rId17" w:history="1"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Opentrons</w:t>
        </w:r>
        <w:proofErr w:type="spellEnd"/>
        <w:r w:rsidRPr="00246D27">
          <w:rPr>
            <w:rFonts w:ascii="open-sans" w:eastAsia="Times New Roman" w:hAnsi="open-sans" w:cs="Times New Roman"/>
            <w:color w:val="0070FF"/>
            <w:u w:val="single"/>
          </w:rPr>
          <w:t xml:space="preserve"> 50/300µl </w:t>
        </w:r>
        <w:proofErr w:type="spellStart"/>
        <w:r w:rsidRPr="00246D27">
          <w:rPr>
            <w:rFonts w:ascii="open-sans" w:eastAsia="Times New Roman" w:hAnsi="open-sans" w:cs="Times New Roman"/>
            <w:color w:val="0070FF"/>
            <w:u w:val="single"/>
          </w:rPr>
          <w:t>tipracks</w:t>
        </w:r>
        <w:proofErr w:type="spellEnd"/>
      </w:hyperlink>
    </w:p>
    <w:p w14:paraId="26A082A5" w14:textId="77777777" w:rsidR="00246D27" w:rsidRPr="00246D27" w:rsidRDefault="00AA76AD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noProof/>
          <w:color w:val="000000"/>
        </w:rPr>
        <w:pict w14:anchorId="1F7235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C0CB3B" w14:textId="622F4B8B" w:rsidR="00246D27" w:rsidRPr="00246D27" w:rsidRDefault="00246D27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fldChar w:fldCharType="begin"/>
      </w:r>
      <w:r w:rsidRPr="00246D27">
        <w:rPr>
          <w:rFonts w:ascii="open-sans" w:eastAsia="Times New Roman" w:hAnsi="open-sans" w:cs="Times New Roman"/>
          <w:color w:val="000000"/>
        </w:rPr>
        <w:instrText xml:space="preserve"> INCLUDEPICTURE "/var/folders/6n/t7qx9ybn2394hsly6_q3c898tq8yzn/T/com.microsoft.Word/WebArchiveCopyPasteTempFiles/Setup.png" \* MERGEFORMATINET </w:instrText>
      </w:r>
      <w:r w:rsidRPr="00246D27">
        <w:rPr>
          <w:rFonts w:ascii="open-sans" w:eastAsia="Times New Roman" w:hAnsi="open-sans" w:cs="Times New Roman"/>
          <w:color w:val="000000"/>
        </w:rPr>
        <w:fldChar w:fldCharType="separate"/>
      </w:r>
      <w:r w:rsidRPr="00246D27">
        <w:rPr>
          <w:rFonts w:ascii="open-sans" w:eastAsia="Times New Roman" w:hAnsi="open-sans" w:cs="Times New Roman"/>
          <w:noProof/>
          <w:color w:val="000000"/>
        </w:rPr>
        <w:drawing>
          <wp:inline distT="0" distB="0" distL="0" distR="0" wp14:anchorId="7B848E04" wp14:editId="0079F817">
            <wp:extent cx="956310" cy="450215"/>
            <wp:effectExtent l="0" t="0" r="0" b="0"/>
            <wp:docPr id="1" name="Picture 1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27">
        <w:rPr>
          <w:rFonts w:ascii="open-sans" w:eastAsia="Times New Roman" w:hAnsi="open-sans" w:cs="Times New Roman"/>
          <w:color w:val="000000"/>
        </w:rPr>
        <w:fldChar w:fldCharType="end"/>
      </w:r>
    </w:p>
    <w:p w14:paraId="5D41933A" w14:textId="77777777" w:rsidR="00246D27" w:rsidRPr="00246D27" w:rsidRDefault="00246D27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 xml:space="preserve">4x6 </w:t>
      </w:r>
      <w:proofErr w:type="spellStart"/>
      <w:r w:rsidRPr="00246D27">
        <w:rPr>
          <w:rFonts w:ascii="open-sans" w:eastAsia="Times New Roman" w:hAnsi="open-sans" w:cs="Times New Roman"/>
          <w:color w:val="000000"/>
        </w:rPr>
        <w:t>tuberack</w:t>
      </w:r>
      <w:proofErr w:type="spellEnd"/>
      <w:r w:rsidRPr="00246D27">
        <w:rPr>
          <w:rFonts w:ascii="open-sans" w:eastAsia="Times New Roman" w:hAnsi="open-sans" w:cs="Times New Roman"/>
          <w:color w:val="000000"/>
        </w:rPr>
        <w:t xml:space="preserve"> (slot 2):</w:t>
      </w:r>
    </w:p>
    <w:p w14:paraId="37B9F2CF" w14:textId="77777777" w:rsidR="00246D27" w:rsidRPr="00246D27" w:rsidRDefault="00246D27" w:rsidP="00246D27">
      <w:pPr>
        <w:numPr>
          <w:ilvl w:val="0"/>
          <w:numId w:val="2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A1: RS</w:t>
      </w:r>
    </w:p>
    <w:p w14:paraId="73A4C7C3" w14:textId="77777777" w:rsidR="00246D27" w:rsidRPr="00246D27" w:rsidRDefault="00246D27" w:rsidP="00246D27">
      <w:pPr>
        <w:numPr>
          <w:ilvl w:val="0"/>
          <w:numId w:val="2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A2: SS1</w:t>
      </w:r>
    </w:p>
    <w:p w14:paraId="13907882" w14:textId="77777777" w:rsidR="00246D27" w:rsidRPr="00246D27" w:rsidRDefault="00246D27" w:rsidP="00246D27">
      <w:pPr>
        <w:numPr>
          <w:ilvl w:val="0"/>
          <w:numId w:val="2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A3: SS2</w:t>
      </w:r>
    </w:p>
    <w:p w14:paraId="286BBFA9" w14:textId="77777777" w:rsidR="00246D27" w:rsidRPr="00246D27" w:rsidRDefault="00246D27" w:rsidP="00246D27">
      <w:pPr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4x6 aluminum block on temperature module (slot 7):</w:t>
      </w:r>
    </w:p>
    <w:p w14:paraId="48A48538" w14:textId="77777777" w:rsidR="00246D27" w:rsidRPr="00246D27" w:rsidRDefault="00246D27" w:rsidP="00246D27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A1: FS1</w:t>
      </w:r>
    </w:p>
    <w:p w14:paraId="6A97927A" w14:textId="77777777" w:rsidR="00246D27" w:rsidRPr="00246D27" w:rsidRDefault="00246D27" w:rsidP="00246D27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A2: FS2/E1</w:t>
      </w:r>
    </w:p>
    <w:p w14:paraId="53DB4A0E" w14:textId="77777777" w:rsidR="00246D27" w:rsidRPr="00246D27" w:rsidRDefault="00246D27" w:rsidP="00246D27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A3: PB</w:t>
      </w:r>
    </w:p>
    <w:p w14:paraId="1EB4DEF8" w14:textId="77777777" w:rsidR="00246D27" w:rsidRPr="00246D27" w:rsidRDefault="00246D27" w:rsidP="00246D27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A4: EB</w:t>
      </w:r>
    </w:p>
    <w:p w14:paraId="1BDA8871" w14:textId="77777777" w:rsidR="00246D27" w:rsidRPr="00246D27" w:rsidRDefault="00246D27" w:rsidP="00246D27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A5: PS</w:t>
      </w:r>
    </w:p>
    <w:p w14:paraId="29B1214E" w14:textId="77777777" w:rsidR="00246D27" w:rsidRPr="00246D27" w:rsidRDefault="00246D27" w:rsidP="00246D27">
      <w:pPr>
        <w:numPr>
          <w:ilvl w:val="0"/>
          <w:numId w:val="3"/>
        </w:numPr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tube A6: PCR/E3</w:t>
      </w:r>
    </w:p>
    <w:p w14:paraId="1BFDF4AB" w14:textId="62C2E8CC" w:rsidR="00F27833" w:rsidRDefault="00F27833"/>
    <w:p w14:paraId="3D8F88F6" w14:textId="77777777" w:rsidR="00246D27" w:rsidRPr="00246D27" w:rsidRDefault="00246D27" w:rsidP="00246D27">
      <w:pPr>
        <w:pBdr>
          <w:bottom w:val="single" w:sz="12" w:space="9" w:color="EEEEEE"/>
        </w:pBdr>
        <w:outlineLvl w:val="2"/>
        <w:rPr>
          <w:rFonts w:ascii="open-sans" w:eastAsia="Times New Roman" w:hAnsi="open-sans" w:cs="Times New Roman"/>
          <w:b/>
          <w:bCs/>
          <w:color w:val="000000"/>
          <w:sz w:val="36"/>
          <w:szCs w:val="36"/>
        </w:rPr>
      </w:pPr>
      <w:r w:rsidRPr="00246D27">
        <w:rPr>
          <w:rFonts w:ascii="open-sans" w:eastAsia="Times New Roman" w:hAnsi="open-sans" w:cs="Times New Roman"/>
          <w:b/>
          <w:bCs/>
          <w:color w:val="000000"/>
          <w:sz w:val="36"/>
          <w:szCs w:val="36"/>
        </w:rPr>
        <w:t>Process </w:t>
      </w:r>
    </w:p>
    <w:p w14:paraId="468614CB" w14:textId="77777777" w:rsidR="00246D27" w:rsidRPr="00246D27" w:rsidRDefault="00246D27" w:rsidP="00246D27">
      <w:pPr>
        <w:numPr>
          <w:ilvl w:val="0"/>
          <w:numId w:val="4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Input the respective mount sides for your P20 single-channel and P300 multi-channel pipettes and the number of samples to process.</w:t>
      </w:r>
    </w:p>
    <w:p w14:paraId="20D877E7" w14:textId="77777777" w:rsidR="00246D27" w:rsidRPr="00246D27" w:rsidRDefault="00246D27" w:rsidP="00246D27">
      <w:pPr>
        <w:numPr>
          <w:ilvl w:val="0"/>
          <w:numId w:val="4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Download your protocol.</w:t>
      </w:r>
    </w:p>
    <w:p w14:paraId="2B7CAFB0" w14:textId="77777777" w:rsidR="00246D27" w:rsidRPr="00246D27" w:rsidRDefault="00246D27" w:rsidP="00246D27">
      <w:pPr>
        <w:numPr>
          <w:ilvl w:val="0"/>
          <w:numId w:val="4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Upload your protocol into the </w:t>
      </w:r>
      <w:hyperlink r:id="rId19" w:history="1">
        <w:r w:rsidRPr="00246D27">
          <w:rPr>
            <w:rFonts w:ascii="open-sans" w:eastAsia="Times New Roman" w:hAnsi="open-sans" w:cs="Times New Roman"/>
            <w:color w:val="0070FF"/>
            <w:u w:val="single"/>
          </w:rPr>
          <w:t>OT App</w:t>
        </w:r>
      </w:hyperlink>
      <w:r w:rsidRPr="00246D27">
        <w:rPr>
          <w:rFonts w:ascii="open-sans" w:eastAsia="Times New Roman" w:hAnsi="open-sans" w:cs="Times New Roman"/>
          <w:color w:val="000000"/>
        </w:rPr>
        <w:t>.</w:t>
      </w:r>
    </w:p>
    <w:p w14:paraId="696CB373" w14:textId="77777777" w:rsidR="00246D27" w:rsidRPr="00246D27" w:rsidRDefault="00246D27" w:rsidP="00246D27">
      <w:pPr>
        <w:numPr>
          <w:ilvl w:val="0"/>
          <w:numId w:val="4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Set up your deck according to the deck map.</w:t>
      </w:r>
    </w:p>
    <w:p w14:paraId="0A2D2BAE" w14:textId="77777777" w:rsidR="00246D27" w:rsidRPr="00246D27" w:rsidRDefault="00246D27" w:rsidP="00246D27">
      <w:pPr>
        <w:numPr>
          <w:ilvl w:val="0"/>
          <w:numId w:val="4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lastRenderedPageBreak/>
        <w:t xml:space="preserve">Calibrate your labware, </w:t>
      </w:r>
      <w:proofErr w:type="spellStart"/>
      <w:r w:rsidRPr="00246D27">
        <w:rPr>
          <w:rFonts w:ascii="open-sans" w:eastAsia="Times New Roman" w:hAnsi="open-sans" w:cs="Times New Roman"/>
          <w:color w:val="000000"/>
        </w:rPr>
        <w:t>tiprack</w:t>
      </w:r>
      <w:proofErr w:type="spellEnd"/>
      <w:r w:rsidRPr="00246D27">
        <w:rPr>
          <w:rFonts w:ascii="open-sans" w:eastAsia="Times New Roman" w:hAnsi="open-sans" w:cs="Times New Roman"/>
          <w:color w:val="000000"/>
        </w:rPr>
        <w:t xml:space="preserve"> and pipette using the OT App. For calibration tips, check out our </w:t>
      </w:r>
      <w:hyperlink r:id="rId20" w:history="1">
        <w:r w:rsidRPr="00246D27">
          <w:rPr>
            <w:rFonts w:ascii="open-sans" w:eastAsia="Times New Roman" w:hAnsi="open-sans" w:cs="Times New Roman"/>
            <w:color w:val="0070FF"/>
            <w:u w:val="single"/>
          </w:rPr>
          <w:t>support articles</w:t>
        </w:r>
      </w:hyperlink>
      <w:r w:rsidRPr="00246D27">
        <w:rPr>
          <w:rFonts w:ascii="open-sans" w:eastAsia="Times New Roman" w:hAnsi="open-sans" w:cs="Times New Roman"/>
          <w:color w:val="000000"/>
        </w:rPr>
        <w:t>.</w:t>
      </w:r>
    </w:p>
    <w:p w14:paraId="01F17114" w14:textId="77777777" w:rsidR="00246D27" w:rsidRPr="00246D27" w:rsidRDefault="00246D27" w:rsidP="00246D27">
      <w:pPr>
        <w:numPr>
          <w:ilvl w:val="0"/>
          <w:numId w:val="4"/>
        </w:numPr>
        <w:spacing w:line="360" w:lineRule="atLeast"/>
        <w:ind w:left="0"/>
        <w:rPr>
          <w:rFonts w:ascii="open-sans" w:eastAsia="Times New Roman" w:hAnsi="open-sans" w:cs="Times New Roman"/>
          <w:color w:val="000000"/>
        </w:rPr>
      </w:pPr>
      <w:r w:rsidRPr="00246D27">
        <w:rPr>
          <w:rFonts w:ascii="open-sans" w:eastAsia="Times New Roman" w:hAnsi="open-sans" w:cs="Times New Roman"/>
          <w:color w:val="000000"/>
        </w:rPr>
        <w:t>Hit "Run".</w:t>
      </w:r>
    </w:p>
    <w:p w14:paraId="6A69B43F" w14:textId="77777777" w:rsidR="00246D27" w:rsidRDefault="00246D27">
      <w:bookmarkStart w:id="0" w:name="_GoBack"/>
      <w:bookmarkEnd w:id="0"/>
    </w:p>
    <w:sectPr w:rsidR="00246D27" w:rsidSect="008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A5C"/>
    <w:multiLevelType w:val="multilevel"/>
    <w:tmpl w:val="FAE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F33D2"/>
    <w:multiLevelType w:val="multilevel"/>
    <w:tmpl w:val="601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D626C"/>
    <w:multiLevelType w:val="multilevel"/>
    <w:tmpl w:val="26CE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2540B"/>
    <w:multiLevelType w:val="multilevel"/>
    <w:tmpl w:val="DCB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7"/>
    <w:rsid w:val="00246D27"/>
    <w:rsid w:val="00814250"/>
    <w:rsid w:val="00AA76AD"/>
    <w:rsid w:val="00F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2E9E"/>
  <w15:chartTrackingRefBased/>
  <w15:docId w15:val="{A28236D1-7BF3-2742-BFF4-82C4C79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6D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6D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46D27"/>
  </w:style>
  <w:style w:type="paragraph" w:styleId="NormalWeb">
    <w:name w:val="Normal (Web)"/>
    <w:basedOn w:val="Normal"/>
    <w:uiPriority w:val="99"/>
    <w:semiHidden/>
    <w:unhideWhenUsed/>
    <w:rsid w:val="00246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46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  <w:divsChild>
            <w:div w:id="167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opentrons.com/collections/verified-labware/products/tube-rack-set-1" TargetMode="External"/><Relationship Id="rId13" Type="http://schemas.openxmlformats.org/officeDocument/2006/relationships/hyperlink" Target="https://shop.opentrons.com/collections/verified-consumables/products/nest-microcentrifuge-tube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hop.opentrons.com/collections/verified-labware/products/nest-0-1-ml-96-well-pcr-plate-full-skirt" TargetMode="External"/><Relationship Id="rId12" Type="http://schemas.openxmlformats.org/officeDocument/2006/relationships/hyperlink" Target="https://shop.opentrons.com/collections/hardware-modules/products/aluminum-block-set" TargetMode="External"/><Relationship Id="rId17" Type="http://schemas.openxmlformats.org/officeDocument/2006/relationships/hyperlink" Target="https://shop.opentrons.com/collections/opentrons-tips/products/opentrons-300ul-ti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opentrons.com/collections/opentrons-tips/products/opentrons-10ul-tips" TargetMode="External"/><Relationship Id="rId20" Type="http://schemas.openxmlformats.org/officeDocument/2006/relationships/hyperlink" Target="https://support.opentrons.com/en/collections/1559720-guide-for-getting-started-with-the-ot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hop.opentrons.com/collections/hardware-modules/products/tempdeck" TargetMode="External"/><Relationship Id="rId5" Type="http://schemas.openxmlformats.org/officeDocument/2006/relationships/hyperlink" Target="https://opentrons.com/" TargetMode="External"/><Relationship Id="rId15" Type="http://schemas.openxmlformats.org/officeDocument/2006/relationships/hyperlink" Target="https://shop.opentrons.com/collections/ot-2-pipettes/products/8-channel-electronic-pipette?variant=5984202489885" TargetMode="External"/><Relationship Id="rId10" Type="http://schemas.openxmlformats.org/officeDocument/2006/relationships/hyperlink" Target="https://shop.opentrons.com/collections/hardware-modules/products/magdeck" TargetMode="External"/><Relationship Id="rId19" Type="http://schemas.openxmlformats.org/officeDocument/2006/relationships/hyperlink" Target="https://opentrons.com/o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opentrons.com/collections/verified-consumables/products/nest-microcentrifuge-tubes" TargetMode="External"/><Relationship Id="rId14" Type="http://schemas.openxmlformats.org/officeDocument/2006/relationships/hyperlink" Target="https://shop.opentrons.com/collections/ot-2-pipettes/products/single-channel-electronic-pipet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Ahmed</dc:creator>
  <cp:keywords/>
  <dc:description/>
  <cp:lastModifiedBy>Yasir Ahmed</cp:lastModifiedBy>
  <cp:revision>1</cp:revision>
  <dcterms:created xsi:type="dcterms:W3CDTF">2020-01-17T03:01:00Z</dcterms:created>
  <dcterms:modified xsi:type="dcterms:W3CDTF">2020-01-17T03:02:00Z</dcterms:modified>
</cp:coreProperties>
</file>