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Compagnon Immobilier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Cursus concerné : Data Scientist</w:t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  <w:tab/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Niveau de difficulté : 7/10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 du projet :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Développer une solution permettant aux acheteurs de logements d'explorer et de comparer différents territoires en termes de prix de l'immobilier, démographie, transports, services, éducation, criminalité, et économie.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L'application doit offrir une Data Visualization, permettant aux utilisateurs d'établir des classements et de visualiser les forces et faiblesses relatives des territoires.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Deux objectifs principaux sont à considérer 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prédiction de l'évolution du prix des logements selon les territoires.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L’estimation du prix au m2 d'un logement donné. Une première prédiction peut être effectuée à l’aide des données tabulaires disponibles, et peut être approfondie avec des données relatives à l’annonce du bien, comme le texte descriptif ou les photos du logement.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L'objectif global est d'aider les acheteurs à prendre des décisions éclairées en traduisant des données complexes et nombreuses en informations utiles et accessibles.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Ressources à consulter 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Données 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Annonces de vente/location 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https://raw.githubusercontent.com/klopstock-dviz/immo_vis/master/data/ech_annonces_ventes_68.csv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  <w:u w:val="no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https://raw.githubusercontent.com/klopstock-dviz/immo_vis/master/data/ech_annonces_locations_68.csv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  <w:tab/>
        <w:t xml:space="preserve">Prix, surface, nb de pièces, type, position géographique (France des 5 dernières années):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https://www.data.gouv.fr/fr/datasets/demandes-de-valeurs-foncieres-geolocalisees/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  <w:tab/>
        <w:t xml:space="preserve">Autres données open source (Ventes DVF, Insee, Data gouv et diverses API publiques) à scraper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Ressource additionnelle 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Une application en lien avec le sujet 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80"/>
            <w:u w:val="single"/>
            <w:rtl w:val="0"/>
          </w:rPr>
          <w:t xml:space="preserve">https://comparateur-communes.fr/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Conditions de validation du projet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rapport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d’exploration, de data visualisation et de pre-processing des données 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rapport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modélisation 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rapport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final et le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associé.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sz w:val="20"/>
        <w:szCs w:val="20"/>
      </w:rPr>
    </w:pPr>
    <w:hyperlink r:id="rId1"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color w:val="5930f2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 Agrément organisme de formation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color w:val="5930f2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09 80 80 79 49 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162300" cy="6858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623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-934874</wp:posOffset>
          </wp:positionH>
          <wp:positionV relativeFrom="paragraph">
            <wp:posOffset>-342899</wp:posOffset>
          </wp:positionV>
          <wp:extent cx="7596188" cy="3429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6188" cy="342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comparateur-communes.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lopstock-dviz/immo_vis/master/data/ech_annonces_ventes_68.csv" TargetMode="External"/><Relationship Id="rId7" Type="http://schemas.openxmlformats.org/officeDocument/2006/relationships/hyperlink" Target="https://raw.githubusercontent.com/klopstock-dviz/immo_vis/master/data/ech_annonces_locations_68.csv" TargetMode="External"/><Relationship Id="rId8" Type="http://schemas.openxmlformats.org/officeDocument/2006/relationships/hyperlink" Target="https://www.data.gouv.fr/fr/datasets/demandes-de-valeurs-foncieres-geolocalise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