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t xml:space="preserve">ADGM PARTNERSHIP AGREEMENT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Governed by Abu Dhabi Global Market (ADGM)</w:t>
      </w:r>
    </w:p>
    <w:p>
      <w:pPr>
        <w:pStyle w:val="Heading2"/>
        <w:spacing w:before="240" w:after="120"/>
      </w:pPr>
      <w:r>
        <w:t xml:space="preserve">1. Partnership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This Partnership Agreement ("Agreement") establishes the terms of the partnership known as {{partnership_name}}, registered under the Abu Dhabi Global Market.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ADGM License Number: {{adgm_license}}</w:t>
      </w:r>
    </w:p>
    <w:p>
      <w:pPr>
        <w:pStyle w:val="Heading2"/>
        <w:spacing w:before="240" w:after="120"/>
      </w:pPr>
      <w:r>
        <w:t xml:space="preserve">2. Partners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Partner 1: {{partner_1_name}} — Ownership: {{partner_1_ownership}}%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Partner 2: {{partner_2_name}} — Ownership: {{partner_2_ownership}}%</w:t>
      </w:r>
    </w:p>
    <w:p>
      <w:pPr>
        <w:pStyle w:val="Heading2"/>
        <w:spacing w:before="240" w:after="120"/>
      </w:pPr>
      <w:r>
        <w:t xml:space="preserve">3. Capital Contribution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The total capital contribution to the Partnership shall be AED {{capital_contribution}}, contributed by each partner in proportion to their respective ownership percentages as set forth above.</w:t>
      </w:r>
    </w:p>
    <w:p>
      <w:pPr>
        <w:pStyle w:val="Heading2"/>
        <w:spacing w:before="240" w:after="120"/>
      </w:pPr>
      <w:r>
        <w:t xml:space="preserve">4. Profit &amp; Loss Sharing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Profits and losses shall be distributed among the Partners in the following ratio: {{profit_sharing_ratio}}.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Distributions shall be made quarterly unless the Partners unanimously agree otherwise.</w:t>
      </w:r>
    </w:p>
    <w:p>
      <w:pPr>
        <w:pStyle w:val="Heading2"/>
        <w:spacing w:before="240" w:after="120"/>
      </w:pPr>
      <w:r>
        <w:t xml:space="preserve">5. Management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The Partnership shall be managed jointly by all Partners. Major decisions (including capital expenditures exceeding AED 50,000, new contracts, and hiring) require unanimous consent.</w:t>
      </w:r>
    </w:p>
    <w:p>
      <w:pPr>
        <w:pStyle w:val="Heading2"/>
        <w:spacing w:before="240" w:after="120"/>
      </w:pPr>
      <w:r>
        <w:t xml:space="preserve">6. Governing Law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This Agreement is governed by the regulations and laws of the Abu Dhabi Global Market. Any disputes shall be referred to the ADGM Courts.</w:t>
      </w:r>
    </w:p>
    <w:p>
      <w:pPr>
        <w:spacing w:before="480"/>
      </w:pPr>
    </w:p>
    <w:p>
      <w:r>
        <w:rPr>
          <w:rFonts w:ascii="Calibri" w:cs="Calibri" w:eastAsia="Calibri" w:hAnsi="Calibri"/>
          <w:sz w:val="24"/>
          <w:szCs w:val="24"/>
        </w:rPr>
        <w:t xml:space="preserve">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Authorized Signatory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Date: _______________</w:t>
      </w:r>
    </w:p>
    <w:p>
      <w:pPr>
        <w:spacing w:before="480"/>
      </w:pPr>
    </w:p>
    <w:p>
      <w:r>
        <w:rPr>
          <w:rFonts w:ascii="Calibri" w:cs="Calibri" w:eastAsia="Calibri" w:hAnsi="Calibri"/>
          <w:sz w:val="24"/>
          <w:szCs w:val="24"/>
        </w:rPr>
        <w:t xml:space="preserve">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Counterparty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Date: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2026-04-01T12:52:57.642Z</dcterms:created>
  <dcterms:modified xsi:type="dcterms:W3CDTF">2026-04-01T12:52:57.642Z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