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shareholders-agreement"/>
    <w:p>
      <w:pPr>
        <w:pStyle w:val="Heading1"/>
      </w:pPr>
      <w:r>
        <w:t xml:space="preserve">SHAREHOLDERS AGREEMENT</w:t>
      </w:r>
    </w:p>
    <w:bookmarkStart w:id="9" w:name="dmcc-free-zone-company"/>
    <w:p>
      <w:pPr>
        <w:pStyle w:val="Heading2"/>
      </w:pPr>
      <w:r>
        <w:t xml:space="preserve">DMCC FREE ZONE COMPANY</w:t>
      </w:r>
    </w:p>
    <w:p>
      <w:pPr>
        <w:pStyle w:val="FirstParagraph"/>
      </w:pPr>
      <w:r>
        <w:rPr>
          <w:b/>
          <w:bCs/>
        </w:rPr>
        <w:t xml:space="preserve">Date:</w:t>
      </w:r>
      <w:r>
        <w:t xml:space="preserve"> </w:t>
      </w:r>
      <w:r>
        <w:t xml:space="preserve">15 March 2026</w:t>
      </w:r>
    </w:p>
    <w:p>
      <w:pPr>
        <w:pStyle w:val="BodyText"/>
      </w:pPr>
      <w:r>
        <w:rPr>
          <w:b/>
          <w:bCs/>
        </w:rPr>
        <w:t xml:space="preserve">Between:</w:t>
      </w:r>
    </w:p>
    <w:p>
      <w:pPr>
        <w:pStyle w:val="Compact"/>
        <w:numPr>
          <w:ilvl w:val="0"/>
          <w:numId w:val="1001"/>
        </w:numPr>
      </w:pPr>
      <w:r>
        <w:rPr>
          <w:b/>
          <w:bCs/>
        </w:rPr>
        <w:t xml:space="preserve">Alpha Holdings Ltd</w:t>
      </w:r>
      <w:r>
        <w:t xml:space="preserve"> </w:t>
      </w:r>
      <w:r>
        <w:t xml:space="preserve">(the</w:t>
      </w:r>
      <w:r>
        <w:t xml:space="preserve"> </w:t>
      </w:r>
      <w:r>
        <w:t xml:space="preserve">“First Shareholder”</w:t>
      </w:r>
      <w:r>
        <w:t xml:space="preserve">), a company incorporated in the British Virgin Islands, registration number BVI-99281;</w:t>
      </w:r>
    </w:p>
    <w:p>
      <w:pPr>
        <w:pStyle w:val="Compact"/>
        <w:numPr>
          <w:ilvl w:val="0"/>
          <w:numId w:val="1001"/>
        </w:numPr>
      </w:pPr>
      <w:r>
        <w:rPr>
          <w:b/>
          <w:bCs/>
        </w:rPr>
        <w:t xml:space="preserve">Mr. Omar Al Rashid</w:t>
      </w:r>
      <w:r>
        <w:t xml:space="preserve"> </w:t>
      </w:r>
      <w:r>
        <w:t xml:space="preserve">(the</w:t>
      </w:r>
      <w:r>
        <w:t xml:space="preserve"> </w:t>
      </w:r>
      <w:r>
        <w:t xml:space="preserve">“Second Shareholder”</w:t>
      </w:r>
      <w:r>
        <w:t xml:space="preserve">), an individual of UAE nationality, Emirates ID 784-1990-XXXXXXX-X; and</w:t>
      </w:r>
    </w:p>
    <w:p>
      <w:pPr>
        <w:pStyle w:val="Compact"/>
        <w:numPr>
          <w:ilvl w:val="0"/>
          <w:numId w:val="1001"/>
        </w:numPr>
      </w:pPr>
      <w:r>
        <w:rPr>
          <w:b/>
          <w:bCs/>
        </w:rPr>
        <w:t xml:space="preserve">Zenith Technologies DMCC</w:t>
      </w:r>
      <w:r>
        <w:t xml:space="preserve"> </w:t>
      </w:r>
      <w:r>
        <w:t xml:space="preserve">(the</w:t>
      </w:r>
      <w:r>
        <w:t xml:space="preserve"> </w:t>
      </w:r>
      <w:r>
        <w:t xml:space="preserve">“Company”</w:t>
      </w:r>
      <w:r>
        <w:t xml:space="preserve">), a company registered in the DMCC Free Zone, DMCC Entity Number DMCC-XXXX.</w:t>
      </w:r>
    </w:p>
    <w:p>
      <w:pPr>
        <w:pStyle w:val="FirstParagraph"/>
      </w:pPr>
      <w:r>
        <w:t xml:space="preserve">(each a</w:t>
      </w:r>
      <w:r>
        <w:t xml:space="preserve"> </w:t>
      </w:r>
      <w:r>
        <w:t xml:space="preserve">“Party”</w:t>
      </w:r>
      <w:r>
        <w:t xml:space="preserve"> </w:t>
      </w:r>
      <w:r>
        <w:t xml:space="preserve">and collectively the</w:t>
      </w:r>
      <w:r>
        <w:t xml:space="preserve"> </w:t>
      </w:r>
      <w:r>
        <w:t xml:space="preserve">“Parties”</w:t>
      </w:r>
      <w:r>
        <w:t xml:space="preserve">)</w:t>
      </w:r>
    </w:p>
    <w:p>
      <w:r>
        <w:pict>
          <v:rect style="width:0;height:1.5pt" o:hralign="center" o:hrstd="t" o:hr="t"/>
        </w:pict>
      </w:r>
    </w:p>
    <w:bookmarkEnd w:id="9"/>
    <w:bookmarkStart w:id="10" w:name="recitals"/>
    <w:p>
      <w:pPr>
        <w:pStyle w:val="Heading2"/>
      </w:pPr>
      <w:r>
        <w:t xml:space="preserve">RECITALS</w:t>
      </w:r>
    </w:p>
    <w:p>
      <w:pPr>
        <w:pStyle w:val="FirstParagraph"/>
      </w:pPr>
      <w:r>
        <w:t xml:space="preserve">A. The Company was registered in the DMCC Free Zone under the DMCCA Company Regulations 2024 on 1 January 2026.</w:t>
      </w:r>
    </w:p>
    <w:p>
      <w:pPr>
        <w:pStyle w:val="BodyText"/>
      </w:pPr>
      <w:r>
        <w:t xml:space="preserve">B. The Shareholders wish to enter into this Agreement to govern their relationship as shareholders of the Company and to regulate certain affairs of the Company.</w:t>
      </w:r>
    </w:p>
    <w:p>
      <w:pPr>
        <w:pStyle w:val="BodyText"/>
      </w:pPr>
      <w:r>
        <w:t xml:space="preserve">C. This Agreement is supplemental to the Articles of Association of the Company.</w:t>
      </w:r>
    </w:p>
    <w:p>
      <w:r>
        <w:pict>
          <v:rect style="width:0;height:1.5pt" o:hralign="center" o:hrstd="t" o:hr="t"/>
        </w:pict>
      </w:r>
    </w:p>
    <w:bookmarkEnd w:id="10"/>
    <w:bookmarkStart w:id="16" w:name="X58308ce01d1ca7573aa11d2e605b14343e847f4"/>
    <w:p>
      <w:pPr>
        <w:pStyle w:val="Heading2"/>
      </w:pPr>
      <w:r>
        <w:t xml:space="preserve">SECTION 1 — COMPANY STRUCTURE AND SHARE CAPITAL</w:t>
      </w:r>
    </w:p>
    <w:bookmarkStart w:id="11" w:name="legal-status"/>
    <w:p>
      <w:pPr>
        <w:pStyle w:val="Heading3"/>
      </w:pPr>
      <w:r>
        <w:t xml:space="preserve">1.1 Legal Status</w:t>
      </w:r>
    </w:p>
    <w:p>
      <w:pPr>
        <w:pStyle w:val="FirstParagraph"/>
      </w:pPr>
      <w:r>
        <w:t xml:space="preserve">The Company is a limited liability company registered in the DMCC Free Zone. The Company possesses a separate legal personality distinct from its Shareholders, and the liability of each Shareholder is limited to the amount unpaid, if any, on the shares held by that Shareholder.</w:t>
      </w:r>
    </w:p>
    <w:bookmarkEnd w:id="11"/>
    <w:bookmarkStart w:id="12" w:name="share-capital"/>
    <w:p>
      <w:pPr>
        <w:pStyle w:val="Heading3"/>
      </w:pPr>
      <w:r>
        <w:t xml:space="preserve">1.2 Share Capital</w:t>
      </w:r>
    </w:p>
    <w:p>
      <w:pPr>
        <w:pStyle w:val="FirstParagraph"/>
      </w:pPr>
      <w:r>
        <w:t xml:space="preserve">The authorised and issued share capital of the Company shall be AED 500,000 (Five Hundred Thousand UAE Dirhams), divided into 5,000 ordinary shares of AED 100 each, fully paid up upon allotment. All shares shall be denominated in UAE Dirhams.</w:t>
      </w:r>
    </w:p>
    <w:bookmarkEnd w:id="12"/>
    <w:bookmarkStart w:id="13" w:name="shareholding-structure"/>
    <w:p>
      <w:pPr>
        <w:pStyle w:val="Heading3"/>
      </w:pPr>
      <w:r>
        <w:t xml:space="preserve">1.3 Shareholding Structure</w:t>
      </w:r>
    </w:p>
    <w:p>
      <w:pPr>
        <w:pStyle w:val="FirstParagraph"/>
      </w:pPr>
      <w:r>
        <w:t xml:space="preserve">The shares shall be held as follows:</w:t>
      </w:r>
    </w:p>
    <w:p>
      <w:pPr>
        <w:pStyle w:val="Compact"/>
        <w:numPr>
          <w:ilvl w:val="0"/>
          <w:numId w:val="1002"/>
        </w:numPr>
      </w:pPr>
      <w:r>
        <w:t xml:space="preserve">Alpha Holdings Ltd: 3,000 shares (60%)</w:t>
      </w:r>
    </w:p>
    <w:p>
      <w:pPr>
        <w:pStyle w:val="Compact"/>
        <w:numPr>
          <w:ilvl w:val="0"/>
          <w:numId w:val="1002"/>
        </w:numPr>
      </w:pPr>
      <w:r>
        <w:t xml:space="preserve">Mr. Omar Al Rashid: 2,000 shares (40%)</w:t>
      </w:r>
    </w:p>
    <w:bookmarkEnd w:id="13"/>
    <w:bookmarkStart w:id="14" w:name="bearer-share-certificates"/>
    <w:p>
      <w:pPr>
        <w:pStyle w:val="Heading3"/>
      </w:pPr>
      <w:r>
        <w:t xml:space="preserve">1.4 Bearer Share Certificates</w:t>
      </w:r>
    </w:p>
    <w:p>
      <w:pPr>
        <w:pStyle w:val="FirstParagraph"/>
      </w:pPr>
      <w:r>
        <w:t xml:space="preserve">To provide flexibility in share transfer, the Company shall issue bearer share certificates to each Shareholder. Bearer shares shall be freely transferable by delivery of the physical certificate without the need for registration or notification to the Registrar.</w:t>
      </w:r>
    </w:p>
    <w:bookmarkEnd w:id="14"/>
    <w:bookmarkStart w:id="15" w:name="additional-share-issuance"/>
    <w:p>
      <w:pPr>
        <w:pStyle w:val="Heading3"/>
      </w:pPr>
      <w:r>
        <w:t xml:space="preserve">1.5 Additional Share Issuance</w:t>
      </w:r>
    </w:p>
    <w:p>
      <w:pPr>
        <w:pStyle w:val="FirstParagraph"/>
      </w:pPr>
      <w:r>
        <w:t xml:space="preserve">The Company may, by Special Resolution, issue additional shares in any currency deemed appropriate by the Board, including but not limited to US Dollars, Euros, or cryptocurrency-denominated tokens, without requiring approval from the DMCC Registrar.</w:t>
      </w:r>
    </w:p>
    <w:p>
      <w:r>
        <w:pict>
          <v:rect style="width:0;height:1.5pt" o:hralign="center" o:hrstd="t" o:hr="t"/>
        </w:pict>
      </w:r>
    </w:p>
    <w:bookmarkEnd w:id="15"/>
    <w:bookmarkEnd w:id="16"/>
    <w:bookmarkStart w:id="23" w:name="section-2-board-of-directors"/>
    <w:p>
      <w:pPr>
        <w:pStyle w:val="Heading2"/>
      </w:pPr>
      <w:r>
        <w:t xml:space="preserve">SECTION 2 — BOARD OF DIRECTORS</w:t>
      </w:r>
    </w:p>
    <w:bookmarkStart w:id="17" w:name="composition"/>
    <w:p>
      <w:pPr>
        <w:pStyle w:val="Heading3"/>
      </w:pPr>
      <w:r>
        <w:t xml:space="preserve">2.1 Composition</w:t>
      </w:r>
    </w:p>
    <w:p>
      <w:pPr>
        <w:pStyle w:val="FirstParagraph"/>
      </w:pPr>
      <w:r>
        <w:t xml:space="preserve">The Company shall be managed by a Board of Directors consisting of not fewer than two (2) and not more than five (5) Directors.</w:t>
      </w:r>
    </w:p>
    <w:bookmarkEnd w:id="17"/>
    <w:bookmarkStart w:id="18" w:name="director-qualifications"/>
    <w:p>
      <w:pPr>
        <w:pStyle w:val="Heading3"/>
      </w:pPr>
      <w:r>
        <w:t xml:space="preserve">2.2 Director Qualifications</w:t>
      </w:r>
    </w:p>
    <w:p>
      <w:pPr>
        <w:pStyle w:val="FirstParagraph"/>
      </w:pPr>
      <w:r>
        <w:t xml:space="preserve">Each Director must:</w:t>
      </w:r>
    </w:p>
    <w:p>
      <w:pPr>
        <w:numPr>
          <w:ilvl w:val="0"/>
          <w:numId w:val="1003"/>
        </w:numPr>
      </w:pPr>
      <w:r>
        <w:t xml:space="preserve">be at least sixteen (16) years of age;</w:t>
      </w:r>
    </w:p>
    <w:p>
      <w:pPr>
        <w:numPr>
          <w:ilvl w:val="0"/>
          <w:numId w:val="1003"/>
        </w:numPr>
      </w:pPr>
      <w:r>
        <w:t xml:space="preserve">not have been convicted of a criminal offence involving dishonesty in the past five (5) years;</w:t>
      </w:r>
    </w:p>
    <w:p>
      <w:pPr>
        <w:numPr>
          <w:ilvl w:val="0"/>
          <w:numId w:val="1003"/>
        </w:numPr>
      </w:pPr>
      <w:r>
        <w:t xml:space="preserve">not be an undischarged bankrupt; and</w:t>
      </w:r>
    </w:p>
    <w:p>
      <w:pPr>
        <w:numPr>
          <w:ilvl w:val="0"/>
          <w:numId w:val="1003"/>
        </w:numPr>
      </w:pPr>
      <w:r>
        <w:t xml:space="preserve">be a natural person, unless otherwise agreed by the Shareholders.</w:t>
      </w:r>
    </w:p>
    <w:bookmarkEnd w:id="18"/>
    <w:bookmarkStart w:id="19" w:name="appointment-and-removal"/>
    <w:p>
      <w:pPr>
        <w:pStyle w:val="Heading3"/>
      </w:pPr>
      <w:r>
        <w:t xml:space="preserve">2.3 Appointment and Removal</w:t>
      </w:r>
    </w:p>
    <w:p>
      <w:pPr>
        <w:pStyle w:val="FirstParagraph"/>
      </w:pPr>
      <w:r>
        <w:t xml:space="preserve">The First Shareholder shall be entitled to nominate two (2) Directors and the Second Shareholder shall be entitled to nominate one (1) Director. Directors shall be appointed by Ordinary Resolution and may be removed by a simple majority of Shareholders.</w:t>
      </w:r>
    </w:p>
    <w:bookmarkEnd w:id="19"/>
    <w:bookmarkStart w:id="20" w:name="director-duties"/>
    <w:p>
      <w:pPr>
        <w:pStyle w:val="Heading3"/>
      </w:pPr>
      <w:r>
        <w:t xml:space="preserve">2.4 Director Duties</w:t>
      </w:r>
    </w:p>
    <w:p>
      <w:pPr>
        <w:pStyle w:val="FirstParagraph"/>
      </w:pPr>
      <w:r>
        <w:t xml:space="preserve">Each Director shall act honestly, in good faith, and in the best interests of the Company in accordance with the DMCCA Officer Rules. A Director who ceases to hold office shall continue to be subject to duties regarding confidential information and opportunities obtained during their tenure.</w:t>
      </w:r>
    </w:p>
    <w:bookmarkEnd w:id="20"/>
    <w:bookmarkStart w:id="21" w:name="financial-assistance-to-directors"/>
    <w:p>
      <w:pPr>
        <w:pStyle w:val="Heading3"/>
      </w:pPr>
      <w:r>
        <w:t xml:space="preserve">2.5 Financial Assistance to Directors</w:t>
      </w:r>
    </w:p>
    <w:p>
      <w:pPr>
        <w:pStyle w:val="FirstParagraph"/>
      </w:pPr>
      <w:r>
        <w:t xml:space="preserve">The Company may, at the discretion of the Board, provide loans, advances, guarantees, or other forms of financial assistance to any Director, provided that such assistance does not exceed AED 200,000 per Director per annum and is approved by Ordinary Resolution of the Shareholders.</w:t>
      </w:r>
    </w:p>
    <w:bookmarkEnd w:id="21"/>
    <w:bookmarkStart w:id="22" w:name="alternate-directors"/>
    <w:p>
      <w:pPr>
        <w:pStyle w:val="Heading3"/>
      </w:pPr>
      <w:r>
        <w:t xml:space="preserve">2.6 Alternate Directors</w:t>
      </w:r>
    </w:p>
    <w:p>
      <w:pPr>
        <w:pStyle w:val="FirstParagraph"/>
      </w:pPr>
      <w:r>
        <w:t xml:space="preserve">Any Director may appoint an alternate director to attend and vote at Board meetings in the Director’s absence. The alternate director need not meet the qualification requirements set out in Clause 2.2 of this Agreement.</w:t>
      </w:r>
    </w:p>
    <w:p>
      <w:r>
        <w:pict>
          <v:rect style="width:0;height:1.5pt" o:hralign="center" o:hrstd="t" o:hr="t"/>
        </w:pict>
      </w:r>
    </w:p>
    <w:bookmarkEnd w:id="22"/>
    <w:bookmarkEnd w:id="23"/>
    <w:bookmarkStart w:id="27" w:name="section-3-company-secretary-and-manager"/>
    <w:p>
      <w:pPr>
        <w:pStyle w:val="Heading2"/>
      </w:pPr>
      <w:r>
        <w:t xml:space="preserve">SECTION 3 — COMPANY SECRETARY AND MANAGER</w:t>
      </w:r>
    </w:p>
    <w:bookmarkStart w:id="24" w:name="company-secretary"/>
    <w:p>
      <w:pPr>
        <w:pStyle w:val="Heading3"/>
      </w:pPr>
      <w:r>
        <w:t xml:space="preserve">3.1 Company Secretary</w:t>
      </w:r>
    </w:p>
    <w:p>
      <w:pPr>
        <w:pStyle w:val="FirstParagraph"/>
      </w:pPr>
      <w:r>
        <w:t xml:space="preserve">The Company shall not be required to appoint a Company Secretary. Administrative filing duties shall be handled directly by the Manager or by such other person as the Board may designate from time to time.</w:t>
      </w:r>
    </w:p>
    <w:bookmarkEnd w:id="24"/>
    <w:bookmarkStart w:id="25" w:name="manager"/>
    <w:p>
      <w:pPr>
        <w:pStyle w:val="Heading3"/>
      </w:pPr>
      <w:r>
        <w:t xml:space="preserve">3.2 Manager</w:t>
      </w:r>
    </w:p>
    <w:p>
      <w:pPr>
        <w:pStyle w:val="FirstParagraph"/>
      </w:pPr>
      <w:r>
        <w:t xml:space="preserve">The Company shall at all times have a Manager who is a natural person and who shall be responsible for the day-to-day operations of the Company. The Manager must meet the qualification requirements prescribed by the DMCCA Officer Rules and these Regulations. If the Manager resigns, is removed, or is incapacitated, the Directors shall assume the responsibilities of the Manager and shall appoint a replacement within ten (10) Business Days.</w:t>
      </w:r>
    </w:p>
    <w:bookmarkEnd w:id="25"/>
    <w:bookmarkStart w:id="26" w:name="notification-to-registrar"/>
    <w:p>
      <w:pPr>
        <w:pStyle w:val="Heading3"/>
      </w:pPr>
      <w:r>
        <w:t xml:space="preserve">3.3 Notification to Registrar</w:t>
      </w:r>
    </w:p>
    <w:p>
      <w:pPr>
        <w:pStyle w:val="FirstParagraph"/>
      </w:pPr>
      <w:r>
        <w:t xml:space="preserve">Any changes to the Manager or Secretary shall be notified to the Registrar within fourteen (14) Business Days of such change.</w:t>
      </w:r>
    </w:p>
    <w:p>
      <w:r>
        <w:pict>
          <v:rect style="width:0;height:1.5pt" o:hralign="center" o:hrstd="t" o:hr="t"/>
        </w:pict>
      </w:r>
    </w:p>
    <w:bookmarkEnd w:id="26"/>
    <w:bookmarkEnd w:id="27"/>
    <w:bookmarkStart w:id="32" w:name="section-4-general-meetings"/>
    <w:p>
      <w:pPr>
        <w:pStyle w:val="Heading2"/>
      </w:pPr>
      <w:r>
        <w:t xml:space="preserve">SECTION 4 — GENERAL MEETINGS</w:t>
      </w:r>
    </w:p>
    <w:bookmarkStart w:id="28" w:name="annual-general-meeting"/>
    <w:p>
      <w:pPr>
        <w:pStyle w:val="Heading3"/>
      </w:pPr>
      <w:r>
        <w:t xml:space="preserve">4.1 Annual General Meeting</w:t>
      </w:r>
    </w:p>
    <w:p>
      <w:pPr>
        <w:pStyle w:val="FirstParagraph"/>
      </w:pPr>
      <w:r>
        <w:t xml:space="preserve">The Company shall hold its first Annual General Meeting within thirty-six (36) months of the date of its registration, and thereafter at intervals of not more than eighteen (18) months.</w:t>
      </w:r>
    </w:p>
    <w:bookmarkEnd w:id="28"/>
    <w:bookmarkStart w:id="29" w:name="notice-of-meetings"/>
    <w:p>
      <w:pPr>
        <w:pStyle w:val="Heading3"/>
      </w:pPr>
      <w:r>
        <w:t xml:space="preserve">4.2 Notice of Meetings</w:t>
      </w:r>
    </w:p>
    <w:p>
      <w:pPr>
        <w:pStyle w:val="FirstParagraph"/>
      </w:pPr>
      <w:r>
        <w:t xml:space="preserve">Any General Meeting shall be called by giving at least eight (8) Business Days’ notice in writing to all Shareholders. The notice shall specify the time, place, date, and nature of the business to be transacted.</w:t>
      </w:r>
    </w:p>
    <w:bookmarkEnd w:id="29"/>
    <w:bookmarkStart w:id="30" w:name="quorum"/>
    <w:p>
      <w:pPr>
        <w:pStyle w:val="Heading3"/>
      </w:pPr>
      <w:r>
        <w:t xml:space="preserve">4.3 Quorum</w:t>
      </w:r>
    </w:p>
    <w:p>
      <w:pPr>
        <w:pStyle w:val="FirstParagraph"/>
      </w:pPr>
      <w:r>
        <w:t xml:space="preserve">The quorum for any General Meeting shall be Shareholders holding or representing not less than 50% of the total voting rights.</w:t>
      </w:r>
    </w:p>
    <w:bookmarkEnd w:id="30"/>
    <w:bookmarkStart w:id="31" w:name="written-resolutions"/>
    <w:p>
      <w:pPr>
        <w:pStyle w:val="Heading3"/>
      </w:pPr>
      <w:r>
        <w:t xml:space="preserve">4.4 Written Resolutions</w:t>
      </w:r>
    </w:p>
    <w:p>
      <w:pPr>
        <w:pStyle w:val="FirstParagraph"/>
      </w:pPr>
      <w:r>
        <w:t xml:space="preserve">Any matter that may be resolved at a General Meeting may instead be resolved by a written resolution signed by Shareholders holding not less than 75% of the total voting rights.</w:t>
      </w:r>
    </w:p>
    <w:p>
      <w:r>
        <w:pict>
          <v:rect style="width:0;height:1.5pt" o:hralign="center" o:hrstd="t" o:hr="t"/>
        </w:pict>
      </w:r>
    </w:p>
    <w:bookmarkEnd w:id="31"/>
    <w:bookmarkEnd w:id="32"/>
    <w:bookmarkStart w:id="37" w:name="Xf4039fc09e7d87aa335fa3bb20f7330137b13dc"/>
    <w:p>
      <w:pPr>
        <w:pStyle w:val="Heading2"/>
      </w:pPr>
      <w:r>
        <w:t xml:space="preserve">SECTION 5 — ACCOUNTS, AUDIT AND FINANCIAL YEAR</w:t>
      </w:r>
    </w:p>
    <w:bookmarkStart w:id="33" w:name="accounting-standards"/>
    <w:p>
      <w:pPr>
        <w:pStyle w:val="Heading3"/>
      </w:pPr>
      <w:r>
        <w:t xml:space="preserve">5.1 Accounting Standards</w:t>
      </w:r>
    </w:p>
    <w:p>
      <w:pPr>
        <w:pStyle w:val="FirstParagraph"/>
      </w:pPr>
      <w:r>
        <w:t xml:space="preserve">The accounts of the Company shall be prepared in accordance with United States Generally Accepted Accounting Principles (US GAAP) and shall show a true and fair view of the profit or loss and the state of the Company’s affairs.</w:t>
      </w:r>
    </w:p>
    <w:bookmarkEnd w:id="33"/>
    <w:bookmarkStart w:id="34" w:name="financial-year"/>
    <w:p>
      <w:pPr>
        <w:pStyle w:val="Heading3"/>
      </w:pPr>
      <w:r>
        <w:t xml:space="preserve">5.2 Financial Year</w:t>
      </w:r>
    </w:p>
    <w:p>
      <w:pPr>
        <w:pStyle w:val="FirstParagraph"/>
      </w:pPr>
      <w:r>
        <w:t xml:space="preserve">The first financial year of the Company shall commence on the date of registration and shall end twenty-four (24) months thereafter. Subsequent financial years shall be twelve (12) months.</w:t>
      </w:r>
    </w:p>
    <w:bookmarkEnd w:id="34"/>
    <w:bookmarkStart w:id="35" w:name="audit"/>
    <w:p>
      <w:pPr>
        <w:pStyle w:val="Heading3"/>
      </w:pPr>
      <w:r>
        <w:t xml:space="preserve">5.3 Audit</w:t>
      </w:r>
    </w:p>
    <w:p>
      <w:pPr>
        <w:pStyle w:val="FirstParagraph"/>
      </w:pPr>
      <w:r>
        <w:t xml:space="preserve">The Company shall appoint an auditor registered with DMCCA as an approved auditor. The auditor’s report shall confirm whether the accounts give a true and fair view and whether the Company is undertaking only activities permitted under its Licence.</w:t>
      </w:r>
    </w:p>
    <w:bookmarkEnd w:id="35"/>
    <w:bookmarkStart w:id="36" w:name="record-retention"/>
    <w:p>
      <w:pPr>
        <w:pStyle w:val="Heading3"/>
      </w:pPr>
      <w:r>
        <w:t xml:space="preserve">5.4 Record Retention</w:t>
      </w:r>
    </w:p>
    <w:p>
      <w:pPr>
        <w:pStyle w:val="FirstParagraph"/>
      </w:pPr>
      <w:r>
        <w:t xml:space="preserve">All accounting records and underlying documents shall be preserved for a period of at least three (3) years from the end of the financial year to which they relate.</w:t>
      </w:r>
    </w:p>
    <w:p>
      <w:r>
        <w:pict>
          <v:rect style="width:0;height:1.5pt" o:hralign="center" o:hrstd="t" o:hr="t"/>
        </w:pict>
      </w:r>
    </w:p>
    <w:bookmarkEnd w:id="36"/>
    <w:bookmarkEnd w:id="37"/>
    <w:bookmarkStart w:id="41" w:name="section-6-dividends-and-distributions"/>
    <w:p>
      <w:pPr>
        <w:pStyle w:val="Heading2"/>
      </w:pPr>
      <w:r>
        <w:t xml:space="preserve">SECTION 6 — DIVIDENDS AND DISTRIBUTIONS</w:t>
      </w:r>
    </w:p>
    <w:bookmarkStart w:id="38" w:name="declaration-of-dividends"/>
    <w:p>
      <w:pPr>
        <w:pStyle w:val="Heading3"/>
      </w:pPr>
      <w:r>
        <w:t xml:space="preserve">6.1 Declaration of Dividends</w:t>
      </w:r>
    </w:p>
    <w:p>
      <w:pPr>
        <w:pStyle w:val="FirstParagraph"/>
      </w:pPr>
      <w:r>
        <w:t xml:space="preserve">The Company may declare dividends by Ordinary Resolution at any time, provided that the Directors have resolved, on reasonable grounds, that the Company will be able to pay its debts as they fall due immediately after the distribution is made.</w:t>
      </w:r>
    </w:p>
    <w:bookmarkEnd w:id="38"/>
    <w:bookmarkStart w:id="39" w:name="distribution-sources"/>
    <w:p>
      <w:pPr>
        <w:pStyle w:val="Heading3"/>
      </w:pPr>
      <w:r>
        <w:t xml:space="preserve">6.2 Distribution Sources</w:t>
      </w:r>
    </w:p>
    <w:p>
      <w:pPr>
        <w:pStyle w:val="FirstParagraph"/>
      </w:pPr>
      <w:r>
        <w:t xml:space="preserve">Dividends shall only be paid out of the Company’s accumulated, realised profits less accumulated, realised losses. No distribution shall be made from the Company’s share premium account or capital redemption reserve.</w:t>
      </w:r>
    </w:p>
    <w:bookmarkEnd w:id="39"/>
    <w:bookmarkStart w:id="40" w:name="cryptocurrency-dividends"/>
    <w:p>
      <w:pPr>
        <w:pStyle w:val="Heading3"/>
      </w:pPr>
      <w:r>
        <w:t xml:space="preserve">6.3 Cryptocurrency Dividends</w:t>
      </w:r>
    </w:p>
    <w:p>
      <w:pPr>
        <w:pStyle w:val="FirstParagraph"/>
      </w:pPr>
      <w:r>
        <w:t xml:space="preserve">Where Shareholders unanimously agree, dividends may be paid in cryptocurrency (including but not limited to Bitcoin, Ethereum, or USDT) at a conversion rate determined by the Board on the date of distribution.</w:t>
      </w:r>
    </w:p>
    <w:p>
      <w:r>
        <w:pict>
          <v:rect style="width:0;height:1.5pt" o:hralign="center" o:hrstd="t" o:hr="t"/>
        </w:pict>
      </w:r>
    </w:p>
    <w:bookmarkEnd w:id="40"/>
    <w:bookmarkEnd w:id="41"/>
    <w:bookmarkStart w:id="45" w:name="section-7-share-transfers"/>
    <w:p>
      <w:pPr>
        <w:pStyle w:val="Heading2"/>
      </w:pPr>
      <w:r>
        <w:t xml:space="preserve">SECTION 7 — SHARE TRANSFERS</w:t>
      </w:r>
    </w:p>
    <w:bookmarkStart w:id="42" w:name="right-of-first-refusal"/>
    <w:p>
      <w:pPr>
        <w:pStyle w:val="Heading3"/>
      </w:pPr>
      <w:r>
        <w:t xml:space="preserve">7.1 Right of First Refusal</w:t>
      </w:r>
    </w:p>
    <w:p>
      <w:pPr>
        <w:pStyle w:val="FirstParagraph"/>
      </w:pPr>
      <w:r>
        <w:t xml:space="preserve">Before transferring any shares to a third party, the transferring Shareholder shall first offer the shares to the other existing Shareholders on the same terms.</w:t>
      </w:r>
    </w:p>
    <w:bookmarkEnd w:id="42"/>
    <w:bookmarkStart w:id="43" w:name="transfer-procedure"/>
    <w:p>
      <w:pPr>
        <w:pStyle w:val="Heading3"/>
      </w:pPr>
      <w:r>
        <w:t xml:space="preserve">7.2 Transfer Procedure</w:t>
      </w:r>
    </w:p>
    <w:p>
      <w:pPr>
        <w:pStyle w:val="FirstParagraph"/>
      </w:pPr>
      <w:r>
        <w:t xml:space="preserve">A share transfer shall be completed by the transferor signing a share transfer document and delivering it to the Registrar. The transfer shall be effective upon receipt by the Registrar, without requiring the signature of the transferee.</w:t>
      </w:r>
    </w:p>
    <w:bookmarkEnd w:id="43"/>
    <w:bookmarkStart w:id="44" w:name="restrictions"/>
    <w:p>
      <w:pPr>
        <w:pStyle w:val="Heading3"/>
      </w:pPr>
      <w:r>
        <w:t xml:space="preserve">7.3 Restrictions</w:t>
      </w:r>
    </w:p>
    <w:p>
      <w:pPr>
        <w:pStyle w:val="FirstParagraph"/>
      </w:pPr>
      <w:r>
        <w:t xml:space="preserve">No shares may be transferred to any person who is a minor (under 18 years of age), an undischarged bankrupt, or a person convicted of fraud or dishonesty.</w:t>
      </w:r>
    </w:p>
    <w:p>
      <w:r>
        <w:pict>
          <v:rect style="width:0;height:1.5pt" o:hralign="center" o:hrstd="t" o:hr="t"/>
        </w:pict>
      </w:r>
    </w:p>
    <w:bookmarkEnd w:id="44"/>
    <w:bookmarkEnd w:id="45"/>
    <w:bookmarkStart w:id="47" w:name="section-8-reduction-of-share-capital"/>
    <w:p>
      <w:pPr>
        <w:pStyle w:val="Heading2"/>
      </w:pPr>
      <w:r>
        <w:t xml:space="preserve">SECTION 8 — REDUCTION OF SHARE CAPITAL</w:t>
      </w:r>
    </w:p>
    <w:bookmarkStart w:id="46" w:name="procedure"/>
    <w:p>
      <w:pPr>
        <w:pStyle w:val="Heading3"/>
      </w:pPr>
      <w:r>
        <w:t xml:space="preserve">8.1 Procedure</w:t>
      </w:r>
    </w:p>
    <w:p>
      <w:pPr>
        <w:pStyle w:val="FirstParagraph"/>
      </w:pPr>
      <w:r>
        <w:t xml:space="preserve">The Company may reduce its share capital by Special Resolution. Such reduction shall take effect immediately upon the passing of the Special Resolution, without the need for any notice to the Registrar, publication, or director’s solvency certificate.</w:t>
      </w:r>
    </w:p>
    <w:p>
      <w:r>
        <w:pict>
          <v:rect style="width:0;height:1.5pt" o:hralign="center" o:hrstd="t" o:hr="t"/>
        </w:pict>
      </w:r>
    </w:p>
    <w:bookmarkEnd w:id="46"/>
    <w:bookmarkEnd w:id="47"/>
    <w:bookmarkStart w:id="50" w:name="section-9-licensing"/>
    <w:p>
      <w:pPr>
        <w:pStyle w:val="Heading2"/>
      </w:pPr>
      <w:r>
        <w:t xml:space="preserve">SECTION 9 — LICENSING</w:t>
      </w:r>
    </w:p>
    <w:bookmarkStart w:id="48" w:name="obligation-to-maintain-licence"/>
    <w:p>
      <w:pPr>
        <w:pStyle w:val="Heading3"/>
      </w:pPr>
      <w:r>
        <w:t xml:space="preserve">9.1 Obligation to Maintain Licence</w:t>
      </w:r>
    </w:p>
    <w:p>
      <w:pPr>
        <w:pStyle w:val="FirstParagraph"/>
      </w:pPr>
      <w:r>
        <w:t xml:space="preserve">The Company shall at all times maintain a valid DMCC Licence and shall only conduct business activities as permitted under the terms of such Licence. The Company shall comply with all requirements of the DMCC Licensing Rules.</w:t>
      </w:r>
    </w:p>
    <w:bookmarkEnd w:id="48"/>
    <w:bookmarkStart w:id="49" w:name="consequences-of-licence-suspension"/>
    <w:p>
      <w:pPr>
        <w:pStyle w:val="Heading3"/>
      </w:pPr>
      <w:r>
        <w:t xml:space="preserve">9.2 Consequences of Licence Suspension</w:t>
      </w:r>
    </w:p>
    <w:p>
      <w:pPr>
        <w:pStyle w:val="FirstParagraph"/>
      </w:pPr>
      <w:r>
        <w:t xml:space="preserve">In the event that the Company’s Licence is suspended, the Company shall immediately cease all operations except for meeting its existing obligations to creditors, and shall take all steps to remedy the circumstances leading to the suspension.</w:t>
      </w:r>
    </w:p>
    <w:p>
      <w:r>
        <w:pict>
          <v:rect style="width:0;height:1.5pt" o:hralign="center" o:hrstd="t" o:hr="t"/>
        </w:pict>
      </w:r>
    </w:p>
    <w:bookmarkEnd w:id="49"/>
    <w:bookmarkEnd w:id="50"/>
    <w:bookmarkStart w:id="54" w:name="Xf6e5a13cc38cef327805f3c03d21d31866c8f96"/>
    <w:p>
      <w:pPr>
        <w:pStyle w:val="Heading2"/>
      </w:pPr>
      <w:r>
        <w:t xml:space="preserve">SECTION 10 — EMPLOYEE WELLNESS AND OFFICE POLICIES</w:t>
      </w:r>
    </w:p>
    <w:bookmarkStart w:id="51" w:name="mandatory-work-from-home-fridays"/>
    <w:p>
      <w:pPr>
        <w:pStyle w:val="Heading3"/>
      </w:pPr>
      <w:r>
        <w:t xml:space="preserve">10.1 Mandatory Work-From-Home Fridays</w:t>
      </w:r>
    </w:p>
    <w:p>
      <w:pPr>
        <w:pStyle w:val="FirstParagraph"/>
      </w:pPr>
      <w:r>
        <w:t xml:space="preserve">The Company shall implement a mandatory work-from-home policy every Friday. All employees are expected to be available online during core working hours of 9:00 AM to 5:00 PM GST.</w:t>
      </w:r>
    </w:p>
    <w:bookmarkEnd w:id="51"/>
    <w:bookmarkStart w:id="52" w:name="pet-friendly-office-policy"/>
    <w:p>
      <w:pPr>
        <w:pStyle w:val="Heading3"/>
      </w:pPr>
      <w:r>
        <w:t xml:space="preserve">10.2 Pet-Friendly Office Policy</w:t>
      </w:r>
    </w:p>
    <w:p>
      <w:pPr>
        <w:pStyle w:val="FirstParagraph"/>
      </w:pPr>
      <w:r>
        <w:t xml:space="preserve">Employees shall be permitted to bring domesticated pets (cats and dogs only, maximum weight 15 kg) to the Company’s offices in Jumeirah Lakes Towers, subject to the pet having a current vaccination certificate and the prior written consent of all employees sharing the same floor.</w:t>
      </w:r>
    </w:p>
    <w:bookmarkEnd w:id="52"/>
    <w:bookmarkStart w:id="53" w:name="annual-team-retreat"/>
    <w:p>
      <w:pPr>
        <w:pStyle w:val="Heading3"/>
      </w:pPr>
      <w:r>
        <w:t xml:space="preserve">10.3 Annual Team Retreat</w:t>
      </w:r>
    </w:p>
    <w:p>
      <w:pPr>
        <w:pStyle w:val="FirstParagraph"/>
      </w:pPr>
      <w:r>
        <w:t xml:space="preserve">The Company shall organise an annual team-building retreat for all employees at a location to be determined by the Board, with a budget not exceeding 2% of the Company’s annual net profit.</w:t>
      </w:r>
    </w:p>
    <w:p>
      <w:r>
        <w:pict>
          <v:rect style="width:0;height:1.5pt" o:hralign="center" o:hrstd="t" o:hr="t"/>
        </w:pict>
      </w:r>
    </w:p>
    <w:bookmarkEnd w:id="53"/>
    <w:bookmarkEnd w:id="54"/>
    <w:bookmarkStart w:id="58" w:name="section-11-winding-up"/>
    <w:p>
      <w:pPr>
        <w:pStyle w:val="Heading2"/>
      </w:pPr>
      <w:r>
        <w:t xml:space="preserve">SECTION 11 — WINDING UP</w:t>
      </w:r>
    </w:p>
    <w:bookmarkStart w:id="55" w:name="voluntary-winding-up"/>
    <w:p>
      <w:pPr>
        <w:pStyle w:val="Heading3"/>
      </w:pPr>
      <w:r>
        <w:t xml:space="preserve">11.1 Voluntary Winding-Up</w:t>
      </w:r>
    </w:p>
    <w:p>
      <w:pPr>
        <w:pStyle w:val="FirstParagraph"/>
      </w:pPr>
      <w:r>
        <w:t xml:space="preserve">The Company may be wound up voluntarily by unanimous resolution of the Shareholders at a General Meeting. The Directors must make a declaration of solvency within twenty (20) Business Days before the winding-up resolution.</w:t>
      </w:r>
    </w:p>
    <w:bookmarkEnd w:id="55"/>
    <w:bookmarkStart w:id="56" w:name="priority-of-payments"/>
    <w:p>
      <w:pPr>
        <w:pStyle w:val="Heading3"/>
      </w:pPr>
      <w:r>
        <w:t xml:space="preserve">11.2 Priority of Payments</w:t>
      </w:r>
    </w:p>
    <w:p>
      <w:pPr>
        <w:pStyle w:val="FirstParagraph"/>
      </w:pPr>
      <w:r>
        <w:t xml:space="preserve">Upon winding-up, the Company’s assets shall be applied in the following order of priority:</w:t>
      </w:r>
    </w:p>
    <w:p>
      <w:pPr>
        <w:numPr>
          <w:ilvl w:val="0"/>
          <w:numId w:val="1004"/>
        </w:numPr>
      </w:pPr>
      <w:r>
        <w:t xml:space="preserve">expenses and costs of the liquidator;</w:t>
      </w:r>
    </w:p>
    <w:p>
      <w:pPr>
        <w:numPr>
          <w:ilvl w:val="0"/>
          <w:numId w:val="1004"/>
        </w:numPr>
      </w:pPr>
      <w:r>
        <w:t xml:space="preserve">remuneration of the liquidator;</w:t>
      </w:r>
    </w:p>
    <w:p>
      <w:pPr>
        <w:numPr>
          <w:ilvl w:val="0"/>
          <w:numId w:val="1004"/>
        </w:numPr>
      </w:pPr>
      <w:r>
        <w:t xml:space="preserve">amounts payable to secured creditors;</w:t>
      </w:r>
    </w:p>
    <w:p>
      <w:pPr>
        <w:numPr>
          <w:ilvl w:val="0"/>
          <w:numId w:val="1004"/>
        </w:numPr>
      </w:pPr>
      <w:r>
        <w:t xml:space="preserve">unpaid employee amounts (capped at three months’ salary per person);</w:t>
      </w:r>
    </w:p>
    <w:p>
      <w:pPr>
        <w:numPr>
          <w:ilvl w:val="0"/>
          <w:numId w:val="1004"/>
        </w:numPr>
      </w:pPr>
      <w:r>
        <w:t xml:space="preserve">amounts payable to DMCCA or any government authority; and</w:t>
      </w:r>
    </w:p>
    <w:p>
      <w:pPr>
        <w:numPr>
          <w:ilvl w:val="0"/>
          <w:numId w:val="1004"/>
        </w:numPr>
      </w:pPr>
      <w:r>
        <w:t xml:space="preserve">amounts payable to general unsecured creditors.</w:t>
      </w:r>
    </w:p>
    <w:bookmarkEnd w:id="56"/>
    <w:bookmarkStart w:id="57" w:name="liquidator-qualifications"/>
    <w:p>
      <w:pPr>
        <w:pStyle w:val="Heading3"/>
      </w:pPr>
      <w:r>
        <w:t xml:space="preserve">11.3 Liquidator Qualifications</w:t>
      </w:r>
    </w:p>
    <w:p>
      <w:pPr>
        <w:pStyle w:val="FirstParagraph"/>
      </w:pPr>
      <w:r>
        <w:t xml:space="preserve">Any person appointed as liquidator must be an individual and a member in good standing of a professional body recognised by the DMCC Registrar.</w:t>
      </w:r>
    </w:p>
    <w:p>
      <w:r>
        <w:pict>
          <v:rect style="width:0;height:1.5pt" o:hralign="center" o:hrstd="t" o:hr="t"/>
        </w:pict>
      </w:r>
    </w:p>
    <w:bookmarkEnd w:id="57"/>
    <w:bookmarkEnd w:id="58"/>
    <w:bookmarkStart w:id="61" w:name="X91580859fb18e18de770a2d420957310c000e40"/>
    <w:p>
      <w:pPr>
        <w:pStyle w:val="Heading2"/>
      </w:pPr>
      <w:r>
        <w:t xml:space="preserve">SECTION 12 — CONFIDENTIALITY AND DISCLOSURE</w:t>
      </w:r>
    </w:p>
    <w:bookmarkStart w:id="59" w:name="disclosure-obligations"/>
    <w:p>
      <w:pPr>
        <w:pStyle w:val="Heading3"/>
      </w:pPr>
      <w:r>
        <w:t xml:space="preserve">12.1 Disclosure Obligations</w:t>
      </w:r>
    </w:p>
    <w:p>
      <w:pPr>
        <w:pStyle w:val="FirstParagraph"/>
      </w:pPr>
      <w:r>
        <w:t xml:space="preserve">The Company shall disclose to the DMCC Registrar any matter which reasonably tends to show a contravention or likely contravention of the DMCCA Company Regulations or any other applicable rules. The Company shall establish and implement appropriate internal systems to ensure compliance with this obligation.</w:t>
      </w:r>
    </w:p>
    <w:bookmarkEnd w:id="59"/>
    <w:bookmarkStart w:id="60" w:name="exceptions"/>
    <w:p>
      <w:pPr>
        <w:pStyle w:val="Heading3"/>
      </w:pPr>
      <w:r>
        <w:t xml:space="preserve">12.2 Exceptions</w:t>
      </w:r>
    </w:p>
    <w:p>
      <w:pPr>
        <w:pStyle w:val="FirstParagraph"/>
      </w:pPr>
      <w:r>
        <w:t xml:space="preserve">The disclosure obligation in Clause 12.1 shall not apply to communications that are subject to legal professional privilege.</w:t>
      </w:r>
    </w:p>
    <w:p>
      <w:r>
        <w:pict>
          <v:rect style="width:0;height:1.5pt" o:hralign="center" o:hrstd="t" o:hr="t"/>
        </w:pict>
      </w:r>
    </w:p>
    <w:bookmarkEnd w:id="60"/>
    <w:bookmarkEnd w:id="61"/>
    <w:bookmarkStart w:id="64" w:name="X85c9976fe5ab449744aaff356adcaba4bebe2d0"/>
    <w:p>
      <w:pPr>
        <w:pStyle w:val="Heading2"/>
      </w:pPr>
      <w:r>
        <w:t xml:space="preserve">SECTION 13 — GOVERNING LAW AND DISPUTE RESOLUTION</w:t>
      </w:r>
    </w:p>
    <w:bookmarkStart w:id="62" w:name="governing-law"/>
    <w:p>
      <w:pPr>
        <w:pStyle w:val="Heading3"/>
      </w:pPr>
      <w:r>
        <w:t xml:space="preserve">13.1 Governing Law</w:t>
      </w:r>
    </w:p>
    <w:p>
      <w:pPr>
        <w:pStyle w:val="FirstParagraph"/>
      </w:pPr>
      <w:r>
        <w:t xml:space="preserve">This Agreement shall be governed by and construed in accordance with the laws of the DMCC Free Zone, the Emirate of Dubai, and the UAE.</w:t>
      </w:r>
    </w:p>
    <w:bookmarkEnd w:id="62"/>
    <w:bookmarkStart w:id="63" w:name="dispute-resolution"/>
    <w:p>
      <w:pPr>
        <w:pStyle w:val="Heading3"/>
      </w:pPr>
      <w:r>
        <w:t xml:space="preserve">13.2 Dispute Resolution</w:t>
      </w:r>
    </w:p>
    <w:p>
      <w:pPr>
        <w:pStyle w:val="FirstParagraph"/>
      </w:pPr>
      <w:r>
        <w:t xml:space="preserve">Any dispute arising out of or in connection with this Agreement shall be referred to and finally resolved by arbitration administered by the DMCC Arbitration Centre in accordance with its rules.</w:t>
      </w:r>
    </w:p>
    <w:p>
      <w:r>
        <w:pict>
          <v:rect style="width:0;height:1.5pt" o:hralign="center" o:hrstd="t" o:hr="t"/>
        </w:pict>
      </w:r>
    </w:p>
    <w:bookmarkEnd w:id="63"/>
    <w:bookmarkEnd w:id="64"/>
    <w:bookmarkStart w:id="68" w:name="section-14-general-provisions"/>
    <w:p>
      <w:pPr>
        <w:pStyle w:val="Heading2"/>
      </w:pPr>
      <w:r>
        <w:t xml:space="preserve">SECTION 14 — GENERAL PROVISIONS</w:t>
      </w:r>
    </w:p>
    <w:bookmarkStart w:id="65" w:name="entire-agreement"/>
    <w:p>
      <w:pPr>
        <w:pStyle w:val="Heading3"/>
      </w:pPr>
      <w:r>
        <w:t xml:space="preserve">14.1 Entire Agreement</w:t>
      </w:r>
    </w:p>
    <w:p>
      <w:pPr>
        <w:pStyle w:val="FirstParagraph"/>
      </w:pPr>
      <w:r>
        <w:t xml:space="preserve">This Agreement, together with the Articles of Association, constitutes the entire agreement between the Parties with respect to the subject matter hereof.</w:t>
      </w:r>
    </w:p>
    <w:bookmarkEnd w:id="65"/>
    <w:bookmarkStart w:id="66" w:name="language"/>
    <w:p>
      <w:pPr>
        <w:pStyle w:val="Heading3"/>
      </w:pPr>
      <w:r>
        <w:t xml:space="preserve">14.2 Language</w:t>
      </w:r>
    </w:p>
    <w:p>
      <w:pPr>
        <w:pStyle w:val="FirstParagraph"/>
      </w:pPr>
      <w:r>
        <w:t xml:space="preserve">This Agreement is executed in the English language. Any translation shall be for convenience only and shall not affect the interpretation of this Agreement.</w:t>
      </w:r>
    </w:p>
    <w:bookmarkEnd w:id="66"/>
    <w:bookmarkStart w:id="67" w:name="amendments"/>
    <w:p>
      <w:pPr>
        <w:pStyle w:val="Heading3"/>
      </w:pPr>
      <w:r>
        <w:t xml:space="preserve">14.3 Amendments</w:t>
      </w:r>
    </w:p>
    <w:p>
      <w:pPr>
        <w:pStyle w:val="FirstParagraph"/>
      </w:pPr>
      <w:r>
        <w:t xml:space="preserve">This Agreement may only be amended by written instrument signed by all Parties.</w:t>
      </w:r>
    </w:p>
    <w:p>
      <w:r>
        <w:pict>
          <v:rect style="width:0;height:1.5pt" o:hralign="center" o:hrstd="t" o:hr="t"/>
        </w:pict>
      </w:r>
    </w:p>
    <w:p>
      <w:pPr>
        <w:pStyle w:val="FirstParagraph"/>
      </w:pPr>
      <w:r>
        <w:rPr>
          <w:b/>
          <w:bCs/>
        </w:rPr>
        <w:t xml:space="preserve">IN WITNESS WHEREOF</w:t>
      </w:r>
      <w:r>
        <w:t xml:space="preserve">, the Parties have executed this Agreement on the date first written above.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For and on behalf of Alpha Holdings Ltd</w:t>
            </w:r>
          </w:p>
        </w:tc>
        <w:tc>
          <w:tcPr/>
          <w:p>
            <w:pPr>
              <w:pStyle w:val="Compact"/>
            </w:pPr>
            <w:r>
              <w:rPr>
                <w:b/>
                <w:bCs/>
              </w:rPr>
              <w:t xml:space="preserve">Mr. Omar Al Rashid</w:t>
            </w:r>
          </w:p>
        </w:tc>
      </w:tr>
      <w:tr>
        <w:tc>
          <w:tcPr/>
          <w:p>
            <w:pPr>
              <w:pStyle w:val="Compact"/>
            </w:pPr>
            <w:r>
              <w:t xml:space="preserve">Name: _________________________</w:t>
            </w:r>
          </w:p>
        </w:tc>
        <w:tc>
          <w:tcPr/>
          <w:p>
            <w:pPr>
              <w:pStyle w:val="Compact"/>
            </w:pPr>
            <w:r>
              <w:t xml:space="preserve">Signature: _________________________</w:t>
            </w:r>
          </w:p>
        </w:tc>
      </w:tr>
      <w:tr>
        <w:tc>
          <w:tcPr/>
          <w:p>
            <w:pPr>
              <w:pStyle w:val="Compact"/>
            </w:pPr>
            <w:r>
              <w:t xml:space="preserve">Title: Director</w:t>
            </w:r>
          </w:p>
        </w:tc>
        <w:tc>
          <w:tcPr/>
          <w:p>
            <w:pPr>
              <w:pStyle w:val="Compact"/>
            </w:pPr>
            <w:r>
              <w:t xml:space="preserve">Emirates ID: _________________________</w:t>
            </w:r>
          </w:p>
        </w:tc>
      </w:tr>
      <w:tr>
        <w:tc>
          <w:tcPr/>
          <w:p>
            <w:pPr>
              <w:pStyle w:val="Compact"/>
            </w:pPr>
            <w:r>
              <w:t xml:space="preserve">Signature: _________________________</w:t>
            </w:r>
          </w:p>
        </w:tc>
        <w:tc>
          <w:tcPr/>
          <w:p>
            <w:pPr>
              <w:pStyle w:val="Compact"/>
            </w:pPr>
            <w:r>
              <w:t xml:space="preserve">Date: _________________________</w:t>
            </w:r>
          </w:p>
        </w:tc>
      </w:tr>
      <w:tr>
        <w:tc>
          <w:tcPr/>
          <w:p>
            <w:pPr>
              <w:pStyle w:val="Compact"/>
            </w:pPr>
            <w:r>
              <w:t xml:space="preserve">Date: _________________________</w:t>
            </w:r>
          </w:p>
        </w:tc>
        <w:tc>
          <w:tcPr/>
          <w:p>
            <w:pPr>
              <w:pStyle w:val="Compact"/>
            </w:pPr>
          </w:p>
        </w:tc>
      </w:tr>
      <w:tr>
        <w:tc>
          <w:tcPr/>
          <w:p>
            <w:pPr>
              <w:pStyle w:val="Compact"/>
            </w:pPr>
          </w:p>
        </w:tc>
        <w:tc>
          <w:tcPr/>
          <w:p>
            <w:pPr>
              <w:pStyle w:val="Compact"/>
            </w:pPr>
          </w:p>
        </w:tc>
      </w:tr>
      <w:tr>
        <w:tc>
          <w:tcPr/>
          <w:p>
            <w:pPr>
              <w:pStyle w:val="Compact"/>
            </w:pPr>
            <w:r>
              <w:rPr>
                <w:b/>
                <w:bCs/>
              </w:rPr>
              <w:t xml:space="preserve">For and on behalf of Zenith Technologies DMCC</w:t>
            </w:r>
          </w:p>
        </w:tc>
        <w:tc>
          <w:tcPr/>
          <w:p>
            <w:pPr>
              <w:pStyle w:val="Compact"/>
            </w:pPr>
          </w:p>
        </w:tc>
      </w:tr>
      <w:tr>
        <w:tc>
          <w:tcPr/>
          <w:p>
            <w:pPr>
              <w:pStyle w:val="Compact"/>
            </w:pPr>
            <w:r>
              <w:t xml:space="preserve">Name: _________________________</w:t>
            </w:r>
          </w:p>
        </w:tc>
        <w:tc>
          <w:tcPr/>
          <w:p>
            <w:pPr>
              <w:pStyle w:val="Compact"/>
            </w:pPr>
          </w:p>
        </w:tc>
      </w:tr>
      <w:tr>
        <w:tc>
          <w:tcPr/>
          <w:p>
            <w:pPr>
              <w:pStyle w:val="Compact"/>
            </w:pPr>
            <w:r>
              <w:t xml:space="preserve">Title: Manager</w:t>
            </w:r>
          </w:p>
        </w:tc>
        <w:tc>
          <w:tcPr/>
          <w:p>
            <w:pPr>
              <w:pStyle w:val="Compact"/>
            </w:pPr>
          </w:p>
        </w:tc>
      </w:tr>
      <w:tr>
        <w:tc>
          <w:tcPr/>
          <w:p>
            <w:pPr>
              <w:pStyle w:val="Compact"/>
            </w:pPr>
            <w:r>
              <w:t xml:space="preserve">Signature: _________________________</w:t>
            </w:r>
          </w:p>
        </w:tc>
        <w:tc>
          <w:tcPr/>
          <w:p>
            <w:pPr>
              <w:pStyle w:val="Compact"/>
            </w:pPr>
          </w:p>
        </w:tc>
      </w:tr>
      <w:tr>
        <w:tc>
          <w:tcPr/>
          <w:p>
            <w:pPr>
              <w:pStyle w:val="Compact"/>
            </w:pPr>
            <w:r>
              <w:t xml:space="preserve">Date: _________________________</w:t>
            </w:r>
          </w:p>
        </w:tc>
        <w:tc>
          <w:tcPr/>
          <w:p>
            <w:pPr>
              <w:pStyle w:val="Compact"/>
            </w:pPr>
          </w:p>
        </w:tc>
      </w:tr>
    </w:tbl>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2026-04-05T21:19:14Z</dcterms:created>
  <dcterms:modified xsi:type="dcterms:W3CDTF">2026-04-05T21:19:14Z</dcterms:modified>
</cp:coreProperties>
</file>

<file path=docProps/custom.xml><?xml version="1.0" encoding="utf-8"?>
<Properties xmlns="http://schemas.openxmlformats.org/officeDocument/2006/custom-properties" xmlns:vt="http://schemas.openxmlformats.org/officeDocument/2006/docPropsVTypes"/>
</file>