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  <w:jc w:val="center"/>
      </w:pPr>
      <w:r>
        <w:t xml:space="preserve">DIFC MUTUAL NON-DISCLOSURE AGREEMENT</w:t>
      </w:r>
    </w:p>
    <w:p>
      <w:pPr>
        <w:spacing w:after="36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Governed by Dubai International Financial Centre (DIFC)</w:t>
      </w:r>
    </w:p>
    <w:p>
      <w:pPr>
        <w:pStyle w:val="Heading2"/>
        <w:spacing w:before="240" w:after="120"/>
      </w:pPr>
      <w:r>
        <w:t xml:space="preserve">1. Parties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This Mutual Non-Disclosure Agreement ("Agreement") is entered into between: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Party A: {{party_a_name}}, License No. {{party_a_license}}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Party B: {{party_b_name}}, License No. {{party_b_license}}</w:t>
      </w:r>
    </w:p>
    <w:p>
      <w:pPr>
        <w:pStyle w:val="Heading2"/>
        <w:spacing w:before="240" w:after="120"/>
      </w:pPr>
      <w:r>
        <w:t xml:space="preserve">2. Effective Date &amp; Purpose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This Agreement is effective as of {{effective_date}}.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Purpose of Disclosure: {{disclosure_purpose}}</w:t>
      </w:r>
    </w:p>
    <w:p>
      <w:pPr>
        <w:pStyle w:val="Heading2"/>
        <w:spacing w:before="240" w:after="120"/>
      </w:pPr>
      <w:r>
        <w:t xml:space="preserve">3. Definition of Confidential Information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Confidential Information means any non-public, proprietary, or trade secret information disclosed by either party, whether orally, in writing, or by inspection, including but not limited to business plans, financial data, client lists, technical specifications, and intellectual property.</w:t>
      </w:r>
    </w:p>
    <w:p>
      <w:pPr>
        <w:pStyle w:val="Heading2"/>
        <w:spacing w:before="240" w:after="120"/>
      </w:pPr>
      <w:r>
        <w:t xml:space="preserve">4. Obligations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Each party agrees to: (a) hold all Confidential Information in strict confidence; (b) not disclose Confidential Information to any third party without prior written consent; (c) use Confidential Information only for the stated Purpose; (d) protect Confidential Information with at least the same degree of care used for its own confidential information.</w:t>
      </w:r>
    </w:p>
    <w:p>
      <w:pPr>
        <w:pStyle w:val="Heading2"/>
        <w:spacing w:before="240" w:after="120"/>
      </w:pPr>
      <w:r>
        <w:t xml:space="preserve">5. Term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This Agreement shall remain in effect for a period of {{term_years}} year(s) from the Effective Date, unless terminated earlier by mutual written consent.</w:t>
      </w:r>
    </w:p>
    <w:p>
      <w:pPr>
        <w:pStyle w:val="Heading2"/>
        <w:spacing w:before="240" w:after="120"/>
      </w:pPr>
      <w:r>
        <w:t xml:space="preserve">6. Governing Law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This Agreement shall be governed by the laws of the Dubai International Financial Centre. The DIFC Courts shall have exclusive jurisdiction over any disputes arising hereunder.</w:t>
      </w:r>
    </w:p>
    <w:p>
      <w:pPr>
        <w:spacing w:before="480"/>
      </w:pPr>
    </w:p>
    <w:p>
      <w:r>
        <w:rPr>
          <w:rFonts w:ascii="Calibri" w:cs="Calibri" w:eastAsia="Calibri" w:hAnsi="Calibri"/>
          <w:sz w:val="24"/>
          <w:szCs w:val="24"/>
        </w:rPr>
        <w:t xml:space="preserve">____________________________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Authorized Signatory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Date: _______________</w:t>
      </w:r>
    </w:p>
    <w:p>
      <w:pPr>
        <w:spacing w:before="480"/>
      </w:pPr>
    </w:p>
    <w:p>
      <w:r>
        <w:rPr>
          <w:rFonts w:ascii="Calibri" w:cs="Calibri" w:eastAsia="Calibri" w:hAnsi="Calibri"/>
          <w:sz w:val="24"/>
          <w:szCs w:val="24"/>
        </w:rPr>
        <w:t xml:space="preserve">____________________________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Counterparty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Date: 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2026-04-01T12:52:57.634Z</dcterms:created>
  <dcterms:modified xsi:type="dcterms:W3CDTF">2026-04-01T12:52:57.634Z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