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Exchange Information Requirements — Aster Tower</w:t>
      </w:r>
    </w:p>
    <w:p>
      <w:r>
        <w:t>Appointing party: Meridian Estates (fictional). Appointed party: Aster Studio. Project code ASTR26. This document states what information the appointing party requires at each exchange.</w:t>
      </w:r>
    </w:p>
    <w:p>
      <w:pPr>
        <w:pStyle w:val="Heading1"/>
      </w:pPr>
      <w:r>
        <w:t>1. Model information requirements</w:t>
      </w:r>
    </w:p>
    <w:p>
      <w:r>
        <w:t>Every door shall carry a fire rating.</w:t>
      </w:r>
    </w:p>
    <w:p>
      <w:r>
        <w:t>All walls shall state whether the wall is external.</w:t>
      </w:r>
    </w:p>
    <w:p>
      <w:r>
        <w:t>All walls shall state whether they are load-bearing.</w:t>
      </w:r>
    </w:p>
    <w:p>
      <w:r>
        <w:t>Every window shall carry a thermal transmittance (U-value).</w:t>
      </w:r>
    </w:p>
    <w:p>
      <w:r>
        <w:t>Every room shall carry a reference.</w:t>
      </w:r>
    </w:p>
    <w:p>
      <w:pPr>
        <w:pStyle w:val="Heading1"/>
      </w:pPr>
      <w:r>
        <w:t>2. Exchange format</w:t>
      </w:r>
    </w:p>
    <w:p>
      <w:r>
        <w:t>Models must be exchanged as IFC 4 Reference View at every milestone, named to the agreed container naming standard.</w:t>
      </w:r>
    </w:p>
    <w:p>
      <w:pPr>
        <w:pStyle w:val="Heading1"/>
      </w:pPr>
      <w:r>
        <w:t>3. Milestones</w:t>
      </w:r>
    </w:p>
    <w:p>
      <w:r>
        <w:t>Information exchanges follow the programme issued with this EIR: Concept Freeze, Stage 3 Coordination, Stage 4 Technical Design, Tender Issue, Construction Issue and Handover.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