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 Silico Digital Twins of Calcified Coronary Lesions under Intravascular Lithotripsy and Stenting</w:t>
      </w:r>
    </w:p>
    <w:p>
      <w:pPr>
        <w:pStyle w:val="Heading1"/>
      </w:pPr>
      <w:r>
        <w:t>2. Materials and Methods</w:t>
      </w:r>
    </w:p>
    <w:p>
      <w:pPr>
        <w:pStyle w:val="Heading2"/>
      </w:pPr>
      <w:r>
        <w:t>2.1. Lesion Cohort</w:t>
      </w:r>
    </w:p>
    <w:p>
      <w:r>
        <w:t>The core set contains 48 two-dimensional lesions and the hold-out set 24 lesions (Figure 1). Calcium fracture under IVL is reported in [1,2].</w:t>
      </w:r>
    </w:p>
    <w:p>
      <w:r>
        <w:drawing>
          <wp:inline xmlns:a="http://schemas.openxmlformats.org/drawingml/2006/main" xmlns:pic="http://schemas.openxmlformats.org/drawingml/2006/picture">
            <wp:extent cx="5760720" cy="3708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ohort_galle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8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1. </w:t>
      </w:r>
      <w:r>
        <w:t>Core factorial cohort.</w:t>
      </w:r>
    </w:p>
    <w:p>
      <w:pPr>
        <w:pStyle w:val="Heading1"/>
      </w:pPr>
      <w:r>
        <w:t>References</w:t>
      </w:r>
    </w:p>
    <w:p>
      <w:r>
        <w:t xml:space="preserve">1. Hill, J. M.; et al. Intravascular Lithotripsy for Treatment of Severely Calcified Coronary Artery Disease. </w:t>
      </w:r>
      <w:r>
        <w:rPr>
          <w:i/>
        </w:rPr>
        <w:t>Journal of the American College of Cardiology</w:t>
      </w:r>
      <w:r>
        <w:t xml:space="preserve"> </w:t>
      </w:r>
      <w:r>
        <w:rPr>
          <w:b/>
        </w:rPr>
        <w:t>2020</w:t>
      </w:r>
      <w:r>
        <w:t>. https://doi.org/10.1016/j.jacc.2020.09.603.</w:t>
      </w:r>
    </w:p>
    <w:p>
      <w:r>
        <w:t xml:space="preserve">2. Ali, Z. A.; et al. Safety and Effectiveness of Coronary Intravascular Lithotripsy for Treatment of Severely Calcified Coronary Stenoses: The Disrupt CAD II Study. </w:t>
      </w:r>
      <w:r>
        <w:rPr>
          <w:i/>
        </w:rPr>
        <w:t>Circulation: Cardiovascular Interventions</w:t>
      </w:r>
      <w:r>
        <w:t xml:space="preserve"> </w:t>
      </w:r>
      <w:r>
        <w:rPr>
          <w:b/>
        </w:rPr>
        <w:t>2019</w:t>
      </w:r>
      <w:r>
        <w:t xml:space="preserve">, </w:t>
      </w:r>
      <w:r>
        <w:rPr>
          <w:i/>
        </w:rPr>
        <w:t>12</w:t>
      </w:r>
      <w:r>
        <w:t>, e008434. https://doi.org/10.1161/CIRCINTERVENTIONS.119.008434.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alatino Linotype" w:hAnsi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