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charts/chartEx1.xml" ContentType="application/vnd.ms-office.chartex+xml"/>
  <Override PartName="/word/charts/style1.xml" ContentType="application/vnd.ms-office.chartstyle+xml"/>
  <Override PartName="/word/charts/colors1.xml" ContentType="application/vnd.ms-office.chartcolorstyle+xml"/>
  <Override PartName="/word/charts/chartEx2.xml" ContentType="application/vnd.ms-office.chartex+xml"/>
  <Override PartName="/word/charts/style2.xml" ContentType="application/vnd.ms-office.chartstyle+xml"/>
  <Override PartName="/word/charts/colors2.xml" ContentType="application/vnd.ms-office.chartcolorstyle+xml"/>
  <Override PartName="/word/charts/chartEx3.xml" ContentType="application/vnd.ms-office.chartex+xml"/>
  <Override PartName="/word/charts/style3.xml" ContentType="application/vnd.ms-office.chartstyle+xml"/>
  <Override PartName="/word/charts/colors3.xml" ContentType="application/vnd.ms-office.chartcolorstyle+xml"/>
  <Override PartName="/word/charts/chartEx4.xml" ContentType="application/vnd.ms-office.chartex+xml"/>
  <Override PartName="/word/charts/style4.xml" ContentType="application/vnd.ms-office.chartstyle+xml"/>
  <Override PartName="/word/charts/colors4.xml" ContentType="application/vnd.ms-office.chartcolorstyle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D12CC53" w14:textId="088D1A31" w:rsidR="001F14F0" w:rsidRDefault="006C0DA8">
      <w:pPr>
        <w:pStyle w:val="Title"/>
      </w:pPr>
      <w:r w:rsidRPr="006C0DA8">
        <w:t>Serum miRNA Expression Analysis in Breast Cancer Using GEO Dataset</w:t>
      </w:r>
    </w:p>
    <w:p w14:paraId="4B8804B2" w14:textId="77777777" w:rsidR="006C0DA8" w:rsidRDefault="006C0DA8" w:rsidP="006C0DA8">
      <w:r>
        <w:t>Elnaz Yazdanpanah Safari Koochi</w:t>
      </w:r>
    </w:p>
    <w:p w14:paraId="45356A6A" w14:textId="3C28F39C" w:rsidR="001F14F0" w:rsidRDefault="006C0DA8" w:rsidP="006C0DA8">
      <w:r>
        <w:t>Department of Biology</w:t>
      </w:r>
    </w:p>
    <w:p w14:paraId="2D402B51" w14:textId="77777777" w:rsidR="001F14F0" w:rsidRDefault="00000000">
      <w:pPr>
        <w:pStyle w:val="Heading1"/>
      </w:pPr>
      <w:r>
        <w:t>1. Introduction</w:t>
      </w:r>
    </w:p>
    <w:p w14:paraId="684F15C9" w14:textId="77777777" w:rsidR="00575583" w:rsidRDefault="00575583" w:rsidP="00575583">
      <w:r>
        <w:t xml:space="preserve">Breast cancer is one of the most common cancers worldwide. Early detection significantly improves survival rates. </w:t>
      </w:r>
    </w:p>
    <w:p w14:paraId="3D03B967" w14:textId="77777777" w:rsidR="00575583" w:rsidRDefault="00575583" w:rsidP="00575583">
      <w:r>
        <w:t>Circulating microRNAs (miRNAs) in serum have emerged as potential non-invasive biomarkers for cancer diagnosis due to their stability and tissue-specific expression patterns.</w:t>
      </w:r>
    </w:p>
    <w:p w14:paraId="52EC8826" w14:textId="77777777" w:rsidR="00575583" w:rsidRDefault="00575583" w:rsidP="00575583"/>
    <w:p w14:paraId="11CA8EDB" w14:textId="572FEA94" w:rsidR="001F14F0" w:rsidRDefault="00575583" w:rsidP="00575583">
      <w:r>
        <w:t>In this project, we analyzed a publicly available GEO dataset to evaluate the expression patterns of selected miRNAs in breast cancer, benign breast disease, and control samples.</w:t>
      </w:r>
    </w:p>
    <w:p w14:paraId="22D72587" w14:textId="77777777" w:rsidR="001F14F0" w:rsidRDefault="00000000">
      <w:pPr>
        <w:pStyle w:val="Heading1"/>
      </w:pPr>
      <w:r>
        <w:t>2. Dataset</w:t>
      </w:r>
    </w:p>
    <w:p w14:paraId="23CD2907" w14:textId="77777777" w:rsidR="00575583" w:rsidRDefault="00575583" w:rsidP="00575583">
      <w:r>
        <w:t>Dataset: GEO (GSE73002)</w:t>
      </w:r>
    </w:p>
    <w:p w14:paraId="10ABB3DC" w14:textId="77777777" w:rsidR="00575583" w:rsidRDefault="00575583" w:rsidP="00575583">
      <w:r>
        <w:t>Sample type: Serum</w:t>
      </w:r>
    </w:p>
    <w:p w14:paraId="261FA8E2" w14:textId="77777777" w:rsidR="00575583" w:rsidRDefault="00575583" w:rsidP="00575583">
      <w:r>
        <w:t>Groups:</w:t>
      </w:r>
    </w:p>
    <w:p w14:paraId="279EB527" w14:textId="77777777" w:rsidR="00575583" w:rsidRDefault="00575583" w:rsidP="00575583">
      <w:r>
        <w:t>- Breast cancer</w:t>
      </w:r>
    </w:p>
    <w:p w14:paraId="0E9864D9" w14:textId="77777777" w:rsidR="00575583" w:rsidRDefault="00575583" w:rsidP="00575583">
      <w:r>
        <w:t>- Benign breast disease</w:t>
      </w:r>
    </w:p>
    <w:p w14:paraId="07619DD8" w14:textId="77777777" w:rsidR="00575583" w:rsidRDefault="00575583" w:rsidP="00575583">
      <w:r>
        <w:t>- Non-cancer controls</w:t>
      </w:r>
    </w:p>
    <w:p w14:paraId="32C767D6" w14:textId="46F1261C" w:rsidR="001F14F0" w:rsidRDefault="00575583" w:rsidP="00575583">
      <w:r>
        <w:t>Technology: Microarray (non-coding RNA profiling)</w:t>
      </w:r>
    </w:p>
    <w:p w14:paraId="26E754A3" w14:textId="77777777" w:rsidR="001F14F0" w:rsidRDefault="00000000">
      <w:pPr>
        <w:pStyle w:val="Heading1"/>
      </w:pPr>
      <w:r>
        <w:t>3. Methods</w:t>
      </w:r>
    </w:p>
    <w:p w14:paraId="6C97F064" w14:textId="77777777" w:rsidR="00575583" w:rsidRDefault="00575583" w:rsidP="00575583">
      <w:r>
        <w:t>Expression data was extracted from GEO series matrix file.</w:t>
      </w:r>
    </w:p>
    <w:p w14:paraId="1BEE1FA5" w14:textId="77777777" w:rsidR="00575583" w:rsidRDefault="00575583" w:rsidP="00575583">
      <w:r>
        <w:t>Samples were categorized into cancer, benign, and control groups based on provided metadata.</w:t>
      </w:r>
    </w:p>
    <w:p w14:paraId="1940C566" w14:textId="77777777" w:rsidR="00575583" w:rsidRDefault="00575583" w:rsidP="00575583">
      <w:r>
        <w:lastRenderedPageBreak/>
        <w:t>Four miRNAs (miR-29a-3p, let-7a-5p, miR-16-5p, miR-17-5p) were selected for differential expression analysis.</w:t>
      </w:r>
    </w:p>
    <w:p w14:paraId="13A6A72B" w14:textId="64E1A654" w:rsidR="001F14F0" w:rsidRDefault="00575583" w:rsidP="00575583">
      <w:r>
        <w:t>Boxplots were generated using Excel to visualize expression differences across groups.</w:t>
      </w:r>
    </w:p>
    <w:p w14:paraId="57652F3D" w14:textId="28B9CF80" w:rsidR="001F14F0" w:rsidRDefault="00000000" w:rsidP="00575583">
      <w:pPr>
        <w:pStyle w:val="Heading1"/>
      </w:pPr>
      <w:r>
        <w:t>4. Results</w:t>
      </w:r>
    </w:p>
    <w:p w14:paraId="5FD211E6" w14:textId="16A26965" w:rsidR="001F14F0" w:rsidRDefault="000A376E">
      <w:r w:rsidRPr="000A376E">
        <w:t>Expression analysis of</w:t>
      </w:r>
      <w:r>
        <w:t xml:space="preserve"> </w:t>
      </w:r>
      <w:r w:rsidR="00000000">
        <w:t xml:space="preserve">miR-29a-3p: </w:t>
      </w:r>
      <w:r w:rsidR="00575583" w:rsidRPr="00575583">
        <w:t>Showed moderate variation across groups with slightly higher expression in cancer samples.</w:t>
      </w:r>
    </w:p>
    <w:p w14:paraId="79161254" w14:textId="5ECA2117" w:rsidR="00F942EA" w:rsidRDefault="00F942EA" w:rsidP="00F942EA">
      <w:r>
        <w:rPr>
          <w:noProof/>
        </w:rPr>
        <mc:AlternateContent>
          <mc:Choice Requires="cx1">
            <w:drawing>
              <wp:inline distT="0" distB="0" distL="0" distR="0" wp14:anchorId="5333571C" wp14:editId="73A1BBB0">
                <wp:extent cx="4547754" cy="2673927"/>
                <wp:effectExtent l="0" t="0" r="5715" b="12700"/>
                <wp:docPr id="1867658184" name="Chart 1">
                  <a:extLst xmlns:a="http://schemas.openxmlformats.org/drawingml/2006/main">
                    <a:ext uri="{FF2B5EF4-FFF2-40B4-BE49-F238E27FC236}">
                      <a16:creationId xmlns:a16="http://schemas.microsoft.com/office/drawing/2014/main" id="{8FF7C536-F8D2-F064-4B4A-E14B87384228}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drawing/2014/chartex">
                    <cx:chart xmlns:cx="http://schemas.microsoft.com/office/drawing/2014/chartex" xmlns:r="http://schemas.openxmlformats.org/officeDocument/2006/relationships" r:id="rId6"/>
                  </a:graphicData>
                </a:graphic>
              </wp:inline>
            </w:drawing>
          </mc:Choice>
          <mc:Fallback>
            <w:drawing>
              <wp:inline distT="0" distB="0" distL="0" distR="0" wp14:anchorId="5333571C" wp14:editId="73A1BBB0">
                <wp:extent cx="4547754" cy="2673927"/>
                <wp:effectExtent l="0" t="0" r="5715" b="12700"/>
                <wp:docPr id="1867658184" name="Chart 1">
                  <a:extLst xmlns:a="http://schemas.openxmlformats.org/drawingml/2006/main">
                    <a:ext uri="{FF2B5EF4-FFF2-40B4-BE49-F238E27FC236}">
                      <a16:creationId xmlns:a16="http://schemas.microsoft.com/office/drawing/2014/main" id="{8FF7C536-F8D2-F064-4B4A-E14B87384228}"/>
                    </a:ext>
                  </a:extLst>
                </wp:docPr>
                <wp:cNvGraphicFramePr>
                  <a:graphicFrameLocks xmlns:a="http://schemas.openxmlformats.org/drawingml/2006/main" noGrp="1" noDrilldown="1" noSelect="1" noChangeAspect="1" noMove="1" noResize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867658184" name="Chart 1">
                          <a:extLst>
                            <a:ext uri="{FF2B5EF4-FFF2-40B4-BE49-F238E27FC236}">
                              <a16:creationId xmlns:a16="http://schemas.microsoft.com/office/drawing/2014/main" id="{8FF7C536-F8D2-F064-4B4A-E14B87384228}"/>
                            </a:ext>
                          </a:extLst>
                        </pic:cNvPr>
                        <pic:cNvPicPr>
                          <a:picLocks noGrp="1" noRot="1" noChangeAspect="1" noMove="1" noResize="1" noEditPoints="1" noAdjustHandles="1" noChangeArrowheads="1" noChangeShapeType="1"/>
                        </pic:cNvPicPr>
                      </pic:nvPicPr>
                      <pic:blipFill>
                        <a:blip r:embed="rId7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547235" cy="267335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Fallback>
        </mc:AlternateContent>
      </w:r>
    </w:p>
    <w:p w14:paraId="255826CC" w14:textId="6307D94A" w:rsidR="00F942EA" w:rsidRDefault="000A376E" w:rsidP="00F942EA">
      <w:r w:rsidRPr="000A376E">
        <w:t>Figure 1. Boxplot of miR-29a-3p expression across study groups.</w:t>
      </w:r>
    </w:p>
    <w:p w14:paraId="2AA741C3" w14:textId="77777777" w:rsidR="00F942EA" w:rsidRDefault="00F942EA" w:rsidP="00F942EA"/>
    <w:p w14:paraId="2F257AFD" w14:textId="77777777" w:rsidR="00F942EA" w:rsidRDefault="00F942EA" w:rsidP="00F942EA"/>
    <w:p w14:paraId="19057D1F" w14:textId="0F635A23" w:rsidR="001F14F0" w:rsidRDefault="000A376E">
      <w:r w:rsidRPr="000A376E">
        <w:t>Expression analysis of</w:t>
      </w:r>
      <w:r>
        <w:t xml:space="preserve"> </w:t>
      </w:r>
      <w:r w:rsidR="00000000">
        <w:t xml:space="preserve">let-7a-5p: </w:t>
      </w:r>
      <w:r w:rsidR="006250D9" w:rsidRPr="006250D9">
        <w:t>Generally lower expression in cancer compared to control groups, suggesting potential tumor suppressor role.</w:t>
      </w:r>
    </w:p>
    <w:p w14:paraId="3892D4E0" w14:textId="57F402F8" w:rsidR="00F942EA" w:rsidRDefault="00990EBE">
      <w:r>
        <w:rPr>
          <w:noProof/>
        </w:rPr>
        <w:lastRenderedPageBreak/>
        <mc:AlternateContent>
          <mc:Choice Requires="cx1">
            <w:drawing>
              <wp:inline distT="0" distB="0" distL="0" distR="0" wp14:anchorId="4722C1AE" wp14:editId="1B6D0508">
                <wp:extent cx="4547754" cy="2592964"/>
                <wp:effectExtent l="0" t="0" r="5715" b="17145"/>
                <wp:docPr id="1015831769" name="Chart 1">
                  <a:extLst xmlns:a="http://schemas.openxmlformats.org/drawingml/2006/main">
                    <a:ext uri="{FF2B5EF4-FFF2-40B4-BE49-F238E27FC236}">
                      <a16:creationId xmlns:a16="http://schemas.microsoft.com/office/drawing/2014/main" id="{C7BDDF5B-11C9-0A0F-82C6-EEE7C2866705}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drawing/2014/chartex">
                    <cx:chart xmlns:cx="http://schemas.microsoft.com/office/drawing/2014/chartex" xmlns:r="http://schemas.openxmlformats.org/officeDocument/2006/relationships" r:id="rId8"/>
                  </a:graphicData>
                </a:graphic>
              </wp:inline>
            </w:drawing>
          </mc:Choice>
          <mc:Fallback>
            <w:drawing>
              <wp:inline distT="0" distB="0" distL="0" distR="0" wp14:anchorId="4722C1AE" wp14:editId="1B6D0508">
                <wp:extent cx="4547754" cy="2592964"/>
                <wp:effectExtent l="0" t="0" r="5715" b="17145"/>
                <wp:docPr id="1015831769" name="Chart 1">
                  <a:extLst xmlns:a="http://schemas.openxmlformats.org/drawingml/2006/main">
                    <a:ext uri="{FF2B5EF4-FFF2-40B4-BE49-F238E27FC236}">
                      <a16:creationId xmlns:a16="http://schemas.microsoft.com/office/drawing/2014/main" id="{C7BDDF5B-11C9-0A0F-82C6-EEE7C2866705}"/>
                    </a:ext>
                  </a:extLst>
                </wp:docPr>
                <wp:cNvGraphicFramePr>
                  <a:graphicFrameLocks xmlns:a="http://schemas.openxmlformats.org/drawingml/2006/main" noGrp="1" noDrilldown="1" noSelect="1" noChangeAspect="1" noMove="1" noResize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015831769" name="Chart 1">
                          <a:extLst>
                            <a:ext uri="{FF2B5EF4-FFF2-40B4-BE49-F238E27FC236}">
                              <a16:creationId xmlns:a16="http://schemas.microsoft.com/office/drawing/2014/main" id="{C7BDDF5B-11C9-0A0F-82C6-EEE7C2866705}"/>
                            </a:ext>
                          </a:extLst>
                        </pic:cNvPr>
                        <pic:cNvPicPr>
                          <a:picLocks noGrp="1" noRot="1" noChangeAspect="1" noMove="1" noResize="1" noEditPoints="1" noAdjustHandles="1" noChangeArrowheads="1" noChangeShapeType="1"/>
                        </pic:cNvPicPr>
                      </pic:nvPicPr>
                      <pic:blipFill>
                        <a:blip r:embed="rId9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547235" cy="259270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Fallback>
        </mc:AlternateContent>
      </w:r>
    </w:p>
    <w:p w14:paraId="76E418D4" w14:textId="797122F2" w:rsidR="000A376E" w:rsidRDefault="000A376E">
      <w:r w:rsidRPr="000A376E">
        <w:t xml:space="preserve">Figure </w:t>
      </w:r>
      <w:r w:rsidR="00D64E0A">
        <w:t>2</w:t>
      </w:r>
      <w:r w:rsidRPr="000A376E">
        <w:t>. Boxplot of let-7a-5p expression across study groups.</w:t>
      </w:r>
    </w:p>
    <w:p w14:paraId="45B0872A" w14:textId="77777777" w:rsidR="000A376E" w:rsidRDefault="000A376E"/>
    <w:p w14:paraId="029DDC91" w14:textId="27997880" w:rsidR="001F14F0" w:rsidRDefault="000A376E">
      <w:r w:rsidRPr="000A376E">
        <w:t>Expression analysis of</w:t>
      </w:r>
      <w:r>
        <w:t xml:space="preserve"> </w:t>
      </w:r>
      <w:r w:rsidR="00000000">
        <w:t xml:space="preserve">miR-16-5p: </w:t>
      </w:r>
      <w:r w:rsidR="00265D2A" w:rsidRPr="00265D2A">
        <w:t>Displayed overlapping expression between groups with limited discriminatory power.</w:t>
      </w:r>
    </w:p>
    <w:p w14:paraId="03DE3BE0" w14:textId="2E763E90" w:rsidR="00990EBE" w:rsidRDefault="005018CB">
      <w:r>
        <w:rPr>
          <w:noProof/>
        </w:rPr>
        <mc:AlternateContent>
          <mc:Choice Requires="cx1">
            <w:drawing>
              <wp:inline distT="0" distB="0" distL="0" distR="0" wp14:anchorId="094AF01C" wp14:editId="1AEA14D3">
                <wp:extent cx="4547754" cy="2668980"/>
                <wp:effectExtent l="0" t="0" r="5715" b="17145"/>
                <wp:docPr id="431137663" name="Chart 1">
                  <a:extLst xmlns:a="http://schemas.openxmlformats.org/drawingml/2006/main">
                    <a:ext uri="{FF2B5EF4-FFF2-40B4-BE49-F238E27FC236}">
                      <a16:creationId xmlns:a16="http://schemas.microsoft.com/office/drawing/2014/main" id="{7964F0E4-8F75-5CB2-A97D-06AC26BABDAD}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drawing/2014/chartex">
                    <cx:chart xmlns:cx="http://schemas.microsoft.com/office/drawing/2014/chartex" xmlns:r="http://schemas.openxmlformats.org/officeDocument/2006/relationships" r:id="rId10"/>
                  </a:graphicData>
                </a:graphic>
              </wp:inline>
            </w:drawing>
          </mc:Choice>
          <mc:Fallback>
            <w:drawing>
              <wp:inline distT="0" distB="0" distL="0" distR="0" wp14:anchorId="094AF01C" wp14:editId="1AEA14D3">
                <wp:extent cx="4547754" cy="2668980"/>
                <wp:effectExtent l="0" t="0" r="5715" b="17145"/>
                <wp:docPr id="431137663" name="Chart 1">
                  <a:extLst xmlns:a="http://schemas.openxmlformats.org/drawingml/2006/main">
                    <a:ext uri="{FF2B5EF4-FFF2-40B4-BE49-F238E27FC236}">
                      <a16:creationId xmlns:a16="http://schemas.microsoft.com/office/drawing/2014/main" id="{7964F0E4-8F75-5CB2-A97D-06AC26BABDAD}"/>
                    </a:ext>
                  </a:extLst>
                </wp:docPr>
                <wp:cNvGraphicFramePr>
                  <a:graphicFrameLocks xmlns:a="http://schemas.openxmlformats.org/drawingml/2006/main" noGrp="1" noDrilldown="1" noSelect="1" noChangeAspect="1" noMove="1" noResize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431137663" name="Chart 1">
                          <a:extLst>
                            <a:ext uri="{FF2B5EF4-FFF2-40B4-BE49-F238E27FC236}">
                              <a16:creationId xmlns:a16="http://schemas.microsoft.com/office/drawing/2014/main" id="{7964F0E4-8F75-5CB2-A97D-06AC26BABDAD}"/>
                            </a:ext>
                          </a:extLst>
                        </pic:cNvPr>
                        <pic:cNvPicPr>
                          <a:picLocks noGrp="1" noRot="1" noChangeAspect="1" noMove="1" noResize="1" noEditPoints="1" noAdjustHandles="1" noChangeArrowheads="1" noChangeShapeType="1"/>
                        </pic:cNvPicPr>
                      </pic:nvPicPr>
                      <pic:blipFill>
                        <a:blip r:embed="rId1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547235" cy="266890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Fallback>
        </mc:AlternateContent>
      </w:r>
    </w:p>
    <w:p w14:paraId="03F025A9" w14:textId="08E5E345" w:rsidR="005018CB" w:rsidRDefault="00AC47F2">
      <w:r w:rsidRPr="00AC47F2">
        <w:t xml:space="preserve">Figure </w:t>
      </w:r>
      <w:r w:rsidR="00D64E0A">
        <w:t>3</w:t>
      </w:r>
      <w:r w:rsidRPr="00AC47F2">
        <w:t>. Boxplot of miR-16-5p expression across study groups.</w:t>
      </w:r>
    </w:p>
    <w:p w14:paraId="1C6424CE" w14:textId="77777777" w:rsidR="005018CB" w:rsidRDefault="005018CB"/>
    <w:p w14:paraId="088D8890" w14:textId="77777777" w:rsidR="005018CB" w:rsidRDefault="005018CB"/>
    <w:p w14:paraId="7D235308" w14:textId="2BB6FBC6" w:rsidR="001F14F0" w:rsidRDefault="000A376E">
      <w:r w:rsidRPr="000A376E">
        <w:t>Expression analysis of</w:t>
      </w:r>
      <w:r>
        <w:t xml:space="preserve"> </w:t>
      </w:r>
      <w:r w:rsidR="00000000">
        <w:t xml:space="preserve">miR-17-5p: </w:t>
      </w:r>
      <w:r w:rsidR="00265D2A" w:rsidRPr="00265D2A">
        <w:t>Showed higher expression in cancer samples, indicating potential oncogenic association.</w:t>
      </w:r>
    </w:p>
    <w:p w14:paraId="3B03DACB" w14:textId="511E5A68" w:rsidR="005018CB" w:rsidRDefault="005018CB">
      <w:r>
        <w:rPr>
          <w:noProof/>
        </w:rPr>
        <w:lastRenderedPageBreak/>
        <mc:AlternateContent>
          <mc:Choice Requires="cx1">
            <w:drawing>
              <wp:inline distT="0" distB="0" distL="0" distR="0" wp14:anchorId="147F296A" wp14:editId="6D6494FB">
                <wp:extent cx="4547754" cy="2673928"/>
                <wp:effectExtent l="0" t="0" r="5715" b="12700"/>
                <wp:docPr id="659406819" name="Chart 1">
                  <a:extLst xmlns:a="http://schemas.openxmlformats.org/drawingml/2006/main">
                    <a:ext uri="{FF2B5EF4-FFF2-40B4-BE49-F238E27FC236}">
                      <a16:creationId xmlns:a16="http://schemas.microsoft.com/office/drawing/2014/main" id="{57CEE7DA-4584-61CA-F900-D4E18CADE6B4}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drawing/2014/chartex">
                    <cx:chart xmlns:cx="http://schemas.microsoft.com/office/drawing/2014/chartex" xmlns:r="http://schemas.openxmlformats.org/officeDocument/2006/relationships" r:id="rId12"/>
                  </a:graphicData>
                </a:graphic>
              </wp:inline>
            </w:drawing>
          </mc:Choice>
          <mc:Fallback>
            <w:drawing>
              <wp:inline distT="0" distB="0" distL="0" distR="0" wp14:anchorId="147F296A" wp14:editId="6D6494FB">
                <wp:extent cx="4547754" cy="2673928"/>
                <wp:effectExtent l="0" t="0" r="5715" b="12700"/>
                <wp:docPr id="659406819" name="Chart 1">
                  <a:extLst xmlns:a="http://schemas.openxmlformats.org/drawingml/2006/main">
                    <a:ext uri="{FF2B5EF4-FFF2-40B4-BE49-F238E27FC236}">
                      <a16:creationId xmlns:a16="http://schemas.microsoft.com/office/drawing/2014/main" id="{57CEE7DA-4584-61CA-F900-D4E18CADE6B4}"/>
                    </a:ext>
                  </a:extLst>
                </wp:docPr>
                <wp:cNvGraphicFramePr>
                  <a:graphicFrameLocks xmlns:a="http://schemas.openxmlformats.org/drawingml/2006/main" noGrp="1" noDrilldown="1" noSelect="1" noChangeAspect="1" noMove="1" noResize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659406819" name="Chart 1">
                          <a:extLst>
                            <a:ext uri="{FF2B5EF4-FFF2-40B4-BE49-F238E27FC236}">
                              <a16:creationId xmlns:a16="http://schemas.microsoft.com/office/drawing/2014/main" id="{57CEE7DA-4584-61CA-F900-D4E18CADE6B4}"/>
                            </a:ext>
                          </a:extLst>
                        </pic:cNvPr>
                        <pic:cNvPicPr>
                          <a:picLocks noGrp="1" noRot="1" noChangeAspect="1" noMove="1" noResize="1" noEditPoints="1" noAdjustHandles="1" noChangeArrowheads="1" noChangeShapeType="1"/>
                        </pic:cNvPicPr>
                      </pic:nvPicPr>
                      <pic:blipFill>
                        <a:blip r:embed="rId13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547235" cy="267335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Fallback>
        </mc:AlternateContent>
      </w:r>
    </w:p>
    <w:p w14:paraId="493D2D7D" w14:textId="6EC2324C" w:rsidR="00AC47F2" w:rsidRPr="006A1E42" w:rsidRDefault="00AC47F2">
      <w:pPr>
        <w:rPr>
          <w:rFonts w:asciiTheme="majorBidi" w:hAnsiTheme="majorBidi" w:cstheme="majorBidi"/>
          <w:sz w:val="24"/>
          <w:szCs w:val="24"/>
        </w:rPr>
      </w:pPr>
      <w:r w:rsidRPr="00AC47F2">
        <w:t xml:space="preserve">Figure </w:t>
      </w:r>
      <w:r w:rsidR="00D64E0A">
        <w:t>4</w:t>
      </w:r>
      <w:r w:rsidRPr="00AC47F2">
        <w:t>. Boxplot of miR-17-5p expression across study groups.</w:t>
      </w:r>
    </w:p>
    <w:p w14:paraId="64A9B684" w14:textId="77777777" w:rsidR="00AC47F2" w:rsidRDefault="00AC47F2"/>
    <w:p w14:paraId="6C924007" w14:textId="77777777" w:rsidR="00AC47F2" w:rsidRDefault="00AC47F2"/>
    <w:p w14:paraId="4F354821" w14:textId="77777777" w:rsidR="001F14F0" w:rsidRDefault="00000000">
      <w:pPr>
        <w:pStyle w:val="Heading1"/>
      </w:pPr>
      <w:r>
        <w:t>5. Discussion</w:t>
      </w:r>
    </w:p>
    <w:p w14:paraId="5E5440C2" w14:textId="77777777" w:rsidR="00265D2A" w:rsidRDefault="00265D2A" w:rsidP="00265D2A">
      <w:r>
        <w:t xml:space="preserve">The results suggest that certain circulating miRNAs exhibit differential expression patterns between breast cancer and non-cancer samples. </w:t>
      </w:r>
    </w:p>
    <w:p w14:paraId="61452DAA" w14:textId="77777777" w:rsidR="00265D2A" w:rsidRDefault="00265D2A" w:rsidP="00265D2A">
      <w:r>
        <w:t>Among the analyzed miRNAs, miR-17-5p showed the most consistent upregulation in cancer samples, while let-7a-5p tended to be downregulated.</w:t>
      </w:r>
    </w:p>
    <w:p w14:paraId="35F5AEC5" w14:textId="77777777" w:rsidR="00265D2A" w:rsidRDefault="00265D2A" w:rsidP="00265D2A"/>
    <w:p w14:paraId="4A1CEBE2" w14:textId="2D3E9781" w:rsidR="001F14F0" w:rsidRDefault="00265D2A" w:rsidP="00265D2A">
      <w:r>
        <w:t>However, overlap between benign and cancer groups indicates that single miRNAs may not be sufficient as standalone diagnostic markers, and a panel of multiple miRNAs may provide better diagnostic accuracy.</w:t>
      </w:r>
    </w:p>
    <w:p w14:paraId="52922B65" w14:textId="77777777" w:rsidR="001F14F0" w:rsidRDefault="00000000">
      <w:pPr>
        <w:pStyle w:val="Heading1"/>
      </w:pPr>
      <w:r>
        <w:t>6. Conclusion</w:t>
      </w:r>
    </w:p>
    <w:p w14:paraId="6FB9AA83" w14:textId="77777777" w:rsidR="005D6536" w:rsidRDefault="005D6536" w:rsidP="005D6536">
      <w:r>
        <w:t xml:space="preserve">This study demonstrates that publicly available GEO datasets can be used to investigate circulating miRNA expression patterns in breast cancer. </w:t>
      </w:r>
    </w:p>
    <w:p w14:paraId="4C97A9EB" w14:textId="40CF618B" w:rsidR="001F14F0" w:rsidRDefault="005D6536" w:rsidP="005D6536">
      <w:r>
        <w:t>Several miRNAs showed differential expression between cancer and non-cancer groups, suggesting their potential role as diagnostic biomarkers.</w:t>
      </w:r>
    </w:p>
    <w:sectPr w:rsidR="001F14F0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387298697">
    <w:abstractNumId w:val="8"/>
  </w:num>
  <w:num w:numId="2" w16cid:durableId="383019425">
    <w:abstractNumId w:val="6"/>
  </w:num>
  <w:num w:numId="3" w16cid:durableId="329866303">
    <w:abstractNumId w:val="5"/>
  </w:num>
  <w:num w:numId="4" w16cid:durableId="632829151">
    <w:abstractNumId w:val="4"/>
  </w:num>
  <w:num w:numId="5" w16cid:durableId="395981638">
    <w:abstractNumId w:val="7"/>
  </w:num>
  <w:num w:numId="6" w16cid:durableId="1806313645">
    <w:abstractNumId w:val="3"/>
  </w:num>
  <w:num w:numId="7" w16cid:durableId="1421364380">
    <w:abstractNumId w:val="2"/>
  </w:num>
  <w:num w:numId="8" w16cid:durableId="1085688560">
    <w:abstractNumId w:val="1"/>
  </w:num>
  <w:num w:numId="9" w16cid:durableId="122310459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A376E"/>
    <w:rsid w:val="0015074B"/>
    <w:rsid w:val="00160058"/>
    <w:rsid w:val="001F14F0"/>
    <w:rsid w:val="00265D2A"/>
    <w:rsid w:val="0029639D"/>
    <w:rsid w:val="002B3699"/>
    <w:rsid w:val="00326F90"/>
    <w:rsid w:val="003847AE"/>
    <w:rsid w:val="004810CD"/>
    <w:rsid w:val="004927D9"/>
    <w:rsid w:val="005018CB"/>
    <w:rsid w:val="00575583"/>
    <w:rsid w:val="005D6536"/>
    <w:rsid w:val="006250D9"/>
    <w:rsid w:val="006A1E42"/>
    <w:rsid w:val="006C0DA8"/>
    <w:rsid w:val="00710AFE"/>
    <w:rsid w:val="00990EBE"/>
    <w:rsid w:val="00AA1D8D"/>
    <w:rsid w:val="00AC47F2"/>
    <w:rsid w:val="00B47730"/>
    <w:rsid w:val="00CB0664"/>
    <w:rsid w:val="00D64E0A"/>
    <w:rsid w:val="00DC659A"/>
    <w:rsid w:val="00F942EA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5526773"/>
  <w14:defaultImageDpi w14:val="300"/>
  <w15:docId w15:val="{E7ADEA30-C917-4B62-BC76-23B076F1E31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microsoft.com/office/2014/relationships/chartEx" Target="charts/chartEx2.xml"/><Relationship Id="rId13" Type="http://schemas.openxmlformats.org/officeDocument/2006/relationships/image" Target="media/image4.png"/><Relationship Id="rId3" Type="http://schemas.openxmlformats.org/officeDocument/2006/relationships/styles" Target="styles.xml"/><Relationship Id="rId7" Type="http://schemas.openxmlformats.org/officeDocument/2006/relationships/image" Target="media/image1.png"/><Relationship Id="rId12" Type="http://schemas.microsoft.com/office/2014/relationships/chartEx" Target="charts/chartEx4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microsoft.com/office/2014/relationships/chartEx" Target="charts/chartEx1.xml"/><Relationship Id="rId11" Type="http://schemas.openxmlformats.org/officeDocument/2006/relationships/image" Target="media/image3.png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microsoft.com/office/2014/relationships/chartEx" Target="charts/chartEx3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fontTable" Target="fontTable.xml"/></Relationships>
</file>

<file path=word/charts/_rels/chartEx1.xml.rels><?xml version="1.0" encoding="UTF-8" standalone="yes"?>
<Relationships xmlns="http://schemas.openxmlformats.org/package/2006/relationships"><Relationship Id="rId3" Type="http://schemas.microsoft.com/office/2011/relationships/chartColorStyle" Target="colors1.xml"/><Relationship Id="rId2" Type="http://schemas.microsoft.com/office/2011/relationships/chartStyle" Target="style1.xml"/><Relationship Id="rId1" Type="http://schemas.openxmlformats.org/officeDocument/2006/relationships/oleObject" Target="file:///C:\Users\HP\Desktop\PROJECT.xlsx" TargetMode="External"/></Relationships>
</file>

<file path=word/charts/_rels/chartEx2.xml.rels><?xml version="1.0" encoding="UTF-8" standalone="yes"?>
<Relationships xmlns="http://schemas.openxmlformats.org/package/2006/relationships"><Relationship Id="rId3" Type="http://schemas.microsoft.com/office/2011/relationships/chartColorStyle" Target="colors2.xml"/><Relationship Id="rId2" Type="http://schemas.microsoft.com/office/2011/relationships/chartStyle" Target="style2.xml"/><Relationship Id="rId1" Type="http://schemas.openxmlformats.org/officeDocument/2006/relationships/oleObject" Target="file:///C:\Users\HP\Desktop\PROJECT.xlsx" TargetMode="External"/></Relationships>
</file>

<file path=word/charts/_rels/chartEx3.xml.rels><?xml version="1.0" encoding="UTF-8" standalone="yes"?>
<Relationships xmlns="http://schemas.openxmlformats.org/package/2006/relationships"><Relationship Id="rId3" Type="http://schemas.microsoft.com/office/2011/relationships/chartColorStyle" Target="colors3.xml"/><Relationship Id="rId2" Type="http://schemas.microsoft.com/office/2011/relationships/chartStyle" Target="style3.xml"/><Relationship Id="rId1" Type="http://schemas.openxmlformats.org/officeDocument/2006/relationships/oleObject" Target="file:///C:\Users\HP\Desktop\PROJECT.xlsx" TargetMode="External"/></Relationships>
</file>

<file path=word/charts/_rels/chartEx4.xml.rels><?xml version="1.0" encoding="UTF-8" standalone="yes"?>
<Relationships xmlns="http://schemas.openxmlformats.org/package/2006/relationships"><Relationship Id="rId3" Type="http://schemas.microsoft.com/office/2011/relationships/chartColorStyle" Target="colors4.xml"/><Relationship Id="rId2" Type="http://schemas.microsoft.com/office/2011/relationships/chartStyle" Target="style4.xml"/><Relationship Id="rId1" Type="http://schemas.openxmlformats.org/officeDocument/2006/relationships/oleObject" Target="file:///C:\Users\HP\Desktop\PROJECT.xlsx" TargetMode="External"/></Relationships>
</file>

<file path=word/charts/chartEx1.xml><?xml version="1.0" encoding="utf-8"?>
<cx:chartSpace xmlns:a="http://schemas.openxmlformats.org/drawingml/2006/main" xmlns:r="http://schemas.openxmlformats.org/officeDocument/2006/relationships" xmlns:cx="http://schemas.microsoft.com/office/drawing/2014/chartex">
  <cx:chartData>
    <cx:externalData r:id="rId1" cx:autoUpdate="0"/>
    <cx:data id="0">
      <cx:strDim type="cat">
        <cx:f>Sheet1!$A$1:$A$15</cx:f>
        <cx:lvl ptCount="15">
          <cx:pt idx="0">non-cancer</cx:pt>
          <cx:pt idx="1">non-cancer</cx:pt>
          <cx:pt idx="2">non-cancer</cx:pt>
          <cx:pt idx="3">non-cancer</cx:pt>
          <cx:pt idx="4">non-cancer</cx:pt>
          <cx:pt idx="5">cancer</cx:pt>
          <cx:pt idx="6">cancer</cx:pt>
          <cx:pt idx="7">cancer</cx:pt>
          <cx:pt idx="8">cancer</cx:pt>
          <cx:pt idx="9">cancer</cx:pt>
          <cx:pt idx="10">benign</cx:pt>
          <cx:pt idx="11">benign</cx:pt>
          <cx:pt idx="12">benign</cx:pt>
          <cx:pt idx="13">benign</cx:pt>
          <cx:pt idx="14">benign</cx:pt>
        </cx:lvl>
      </cx:strDim>
      <cx:numDim type="val">
        <cx:f>Sheet1!$B$1:$B$15</cx:f>
        <cx:lvl ptCount="15" formatCode="General">
          <cx:pt idx="0">2.1499999999999999</cx:pt>
          <cx:pt idx="1">1.6699999999999999</cx:pt>
          <cx:pt idx="2">1.74</cx:pt>
          <cx:pt idx="3">1.0700000000000001</cx:pt>
          <cx:pt idx="4">2.7599999999999998</cx:pt>
          <cx:pt idx="5">3.5800000000000001</cx:pt>
          <cx:pt idx="6">2.21</cx:pt>
          <cx:pt idx="7">5.3700000000000001</cx:pt>
          <cx:pt idx="8">4.6200000000000001</cx:pt>
          <cx:pt idx="9">5.1699999999999999</cx:pt>
          <cx:pt idx="10">2.5499999999999998</cx:pt>
          <cx:pt idx="11">2.3300000000000001</cx:pt>
          <cx:pt idx="12">2.4900000000000002</cx:pt>
          <cx:pt idx="13">3.48</cx:pt>
          <cx:pt idx="14">3.6299999999999999</cx:pt>
        </cx:lvl>
      </cx:numDim>
    </cx:data>
  </cx:chartData>
  <cx:chart>
    <cx:plotArea>
      <cx:plotAreaRegion>
        <cx:series layoutId="boxWhisker" uniqueId="{84AEA813-A00D-4789-8181-D5E51B073F95}">
          <cx:dataId val="0"/>
          <cx:layoutPr>
            <cx:visibility meanLine="0" meanMarker="1" nonoutliers="0" outliers="1"/>
            <cx:statistics quartileMethod="exclusive"/>
          </cx:layoutPr>
        </cx:series>
      </cx:plotAreaRegion>
      <cx:axis id="0">
        <cx:catScaling gapWidth="1"/>
        <cx:tickLabels/>
      </cx:axis>
      <cx:axis id="1">
        <cx:valScaling/>
        <cx:majorGridlines/>
        <cx:tickLabels/>
      </cx:axis>
    </cx:plotArea>
  </cx:chart>
</cx:chartSpace>
</file>

<file path=word/charts/chartEx2.xml><?xml version="1.0" encoding="utf-8"?>
<cx:chartSpace xmlns:a="http://schemas.openxmlformats.org/drawingml/2006/main" xmlns:r="http://schemas.openxmlformats.org/officeDocument/2006/relationships" xmlns:cx="http://schemas.microsoft.com/office/drawing/2014/chartex">
  <cx:chartData>
    <cx:externalData r:id="rId1" cx:autoUpdate="0"/>
    <cx:data id="0">
      <cx:strDim type="cat">
        <cx:f>Sheet1!$A$18:$A$32</cx:f>
        <cx:lvl ptCount="15">
          <cx:pt idx="0">cancer</cx:pt>
          <cx:pt idx="1">cancer</cx:pt>
          <cx:pt idx="2">cancer</cx:pt>
          <cx:pt idx="3">cancer</cx:pt>
          <cx:pt idx="4">cancer</cx:pt>
          <cx:pt idx="5">non-cancer</cx:pt>
          <cx:pt idx="6">non-cancer</cx:pt>
          <cx:pt idx="7">non-cancer</cx:pt>
          <cx:pt idx="8">non-cancer</cx:pt>
          <cx:pt idx="9">non-cancer</cx:pt>
          <cx:pt idx="10">benign</cx:pt>
          <cx:pt idx="11">benign</cx:pt>
          <cx:pt idx="12">benign</cx:pt>
          <cx:pt idx="13">benign</cx:pt>
          <cx:pt idx="14">benign</cx:pt>
        </cx:lvl>
      </cx:strDim>
      <cx:numDim type="val">
        <cx:f>Sheet1!$B$18:$B$32</cx:f>
        <cx:lvl ptCount="15" formatCode="General">
          <cx:pt idx="0">3.5800000000000001</cx:pt>
          <cx:pt idx="1">2.21</cx:pt>
          <cx:pt idx="2">3.8399999999999999</cx:pt>
          <cx:pt idx="3">4.6200000000000001</cx:pt>
          <cx:pt idx="4">5.1699999999999999</cx:pt>
          <cx:pt idx="5">0.59999999999999998</cx:pt>
          <cx:pt idx="6">1.77</cx:pt>
          <cx:pt idx="7">0.75</cx:pt>
          <cx:pt idx="8">0.97999999999999998</cx:pt>
          <cx:pt idx="9">0.81000000000000005</cx:pt>
          <cx:pt idx="10">4.2000000000000002</cx:pt>
          <cx:pt idx="11">6.2400000000000002</cx:pt>
          <cx:pt idx="12">4.6900000000000004</cx:pt>
          <cx:pt idx="13">5.3499999999999996</cx:pt>
          <cx:pt idx="14">4.2400000000000002</cx:pt>
        </cx:lvl>
      </cx:numDim>
    </cx:data>
  </cx:chartData>
  <cx:chart>
    <cx:title pos="t" align="ctr" overlay="0"/>
    <cx:plotArea>
      <cx:plotAreaRegion>
        <cx:series layoutId="boxWhisker" uniqueId="{146C66CF-C0C8-4526-9DDC-C2966EBD8472}">
          <cx:dataId val="0"/>
          <cx:layoutPr>
            <cx:visibility meanLine="0" meanMarker="1" nonoutliers="0" outliers="1"/>
            <cx:statistics quartileMethod="exclusive"/>
          </cx:layoutPr>
        </cx:series>
      </cx:plotAreaRegion>
      <cx:axis id="0">
        <cx:catScaling gapWidth="1"/>
        <cx:tickLabels/>
      </cx:axis>
      <cx:axis id="1">
        <cx:valScaling/>
        <cx:majorGridlines/>
        <cx:tickLabels/>
      </cx:axis>
    </cx:plotArea>
  </cx:chart>
</cx:chartSpace>
</file>

<file path=word/charts/chartEx3.xml><?xml version="1.0" encoding="utf-8"?>
<cx:chartSpace xmlns:a="http://schemas.openxmlformats.org/drawingml/2006/main" xmlns:r="http://schemas.openxmlformats.org/officeDocument/2006/relationships" xmlns:cx="http://schemas.microsoft.com/office/drawing/2014/chartex">
  <cx:chartData>
    <cx:externalData r:id="rId1" cx:autoUpdate="0"/>
    <cx:data id="0">
      <cx:strDim type="cat">
        <cx:f>Sheet1!$A$35:$A$49</cx:f>
        <cx:lvl ptCount="15">
          <cx:pt idx="0">cancer</cx:pt>
          <cx:pt idx="1">cancer</cx:pt>
          <cx:pt idx="2">cancer</cx:pt>
          <cx:pt idx="3">cancer</cx:pt>
          <cx:pt idx="4">cancer</cx:pt>
          <cx:pt idx="5">non-cancer</cx:pt>
          <cx:pt idx="6">non-cancer</cx:pt>
          <cx:pt idx="7">non-cancer</cx:pt>
          <cx:pt idx="8">non-cancer</cx:pt>
          <cx:pt idx="9">non-cancer</cx:pt>
          <cx:pt idx="10">benign</cx:pt>
          <cx:pt idx="11">benign</cx:pt>
          <cx:pt idx="12">benign</cx:pt>
          <cx:pt idx="13">benign</cx:pt>
          <cx:pt idx="14">benign</cx:pt>
        </cx:lvl>
      </cx:strDim>
      <cx:numDim type="val">
        <cx:f>Sheet1!$B$35:$B$49</cx:f>
        <cx:lvl ptCount="15" formatCode="General">
          <cx:pt idx="0">2.21</cx:pt>
          <cx:pt idx="1">3.8399999999999999</cx:pt>
          <cx:pt idx="2">4.6200000000000001</cx:pt>
          <cx:pt idx="3">5.1699999999999999</cx:pt>
          <cx:pt idx="4">4.3499999999999996</cx:pt>
          <cx:pt idx="5">1</cx:pt>
          <cx:pt idx="6">1.1299999999999999</cx:pt>
          <cx:pt idx="7">0.68000000000000005</cx:pt>
          <cx:pt idx="8">1.54</cx:pt>
          <cx:pt idx="9">2.2000000000000002</cx:pt>
          <cx:pt idx="10">4.3499999999999996</cx:pt>
          <cx:pt idx="11">4.2800000000000002</cx:pt>
          <cx:pt idx="12">4.3300000000000001</cx:pt>
          <cx:pt idx="13">4.3600000000000003</cx:pt>
          <cx:pt idx="14">4.6100000000000003</cx:pt>
        </cx:lvl>
      </cx:numDim>
    </cx:data>
  </cx:chartData>
  <cx:chart>
    <cx:title pos="t" align="ctr" overlay="0"/>
    <cx:plotArea>
      <cx:plotAreaRegion>
        <cx:series layoutId="boxWhisker" uniqueId="{633B3325-2200-4F82-9F31-D636070670D8}">
          <cx:dataId val="0"/>
          <cx:layoutPr>
            <cx:visibility meanLine="0" meanMarker="1" nonoutliers="0" outliers="1"/>
            <cx:statistics quartileMethod="exclusive"/>
          </cx:layoutPr>
        </cx:series>
      </cx:plotAreaRegion>
      <cx:axis id="0">
        <cx:catScaling gapWidth="1"/>
        <cx:tickLabels/>
      </cx:axis>
      <cx:axis id="1">
        <cx:valScaling/>
        <cx:majorGridlines/>
        <cx:tickLabels/>
      </cx:axis>
    </cx:plotArea>
  </cx:chart>
</cx:chartSpace>
</file>

<file path=word/charts/chartEx4.xml><?xml version="1.0" encoding="utf-8"?>
<cx:chartSpace xmlns:a="http://schemas.openxmlformats.org/drawingml/2006/main" xmlns:r="http://schemas.openxmlformats.org/officeDocument/2006/relationships" xmlns:cx="http://schemas.microsoft.com/office/drawing/2014/chartex">
  <cx:chartData>
    <cx:externalData r:id="rId1" cx:autoUpdate="0"/>
    <cx:data id="0">
      <cx:strDim type="cat">
        <cx:f>Sheet1!$A$52:$A$66</cx:f>
        <cx:lvl ptCount="15">
          <cx:pt idx="0">cancer</cx:pt>
          <cx:pt idx="1">cancer</cx:pt>
          <cx:pt idx="2">cancer</cx:pt>
          <cx:pt idx="3">cancer</cx:pt>
          <cx:pt idx="4">cancer</cx:pt>
          <cx:pt idx="5">non-cancer</cx:pt>
          <cx:pt idx="6">non-cancer</cx:pt>
          <cx:pt idx="7">non-cancer</cx:pt>
          <cx:pt idx="8">non-cancer</cx:pt>
          <cx:pt idx="9">non-cancer</cx:pt>
          <cx:pt idx="10">benign</cx:pt>
          <cx:pt idx="11">benign</cx:pt>
          <cx:pt idx="12">benign</cx:pt>
          <cx:pt idx="13">benign</cx:pt>
          <cx:pt idx="14">benign</cx:pt>
        </cx:lvl>
      </cx:strDim>
      <cx:numDim type="val">
        <cx:f>Sheet1!$B$52:$B$66</cx:f>
        <cx:lvl ptCount="15" formatCode="General">
          <cx:pt idx="0">2.21</cx:pt>
          <cx:pt idx="1">3.8399999999999999</cx:pt>
          <cx:pt idx="2">4.6200000000000001</cx:pt>
          <cx:pt idx="3">5.1699999999999999</cx:pt>
          <cx:pt idx="4">4.3499999999999996</cx:pt>
          <cx:pt idx="5">0.44</cx:pt>
          <cx:pt idx="6">2.48</cx:pt>
          <cx:pt idx="7">1.8700000000000001</cx:pt>
          <cx:pt idx="8">2.5899999999999999</cx:pt>
          <cx:pt idx="9">2.71</cx:pt>
          <cx:pt idx="10">5.3700000000000001</cx:pt>
          <cx:pt idx="11">5.6600000000000001</cx:pt>
          <cx:pt idx="12">4.5499999999999998</cx:pt>
          <cx:pt idx="13">3.1499999999999999</cx:pt>
          <cx:pt idx="14">4.6100000000000003</cx:pt>
        </cx:lvl>
      </cx:numDim>
    </cx:data>
  </cx:chartData>
  <cx:chart>
    <cx:title pos="t" align="ctr" overlay="0"/>
    <cx:plotArea>
      <cx:plotAreaRegion>
        <cx:series layoutId="boxWhisker" uniqueId="{A899698F-17A4-4493-9D1C-D701A6BDF399}">
          <cx:dataId val="0"/>
          <cx:layoutPr>
            <cx:visibility meanLine="0" meanMarker="1" nonoutliers="0" outliers="1"/>
            <cx:statistics quartileMethod="exclusive"/>
          </cx:layoutPr>
        </cx:series>
      </cx:plotAreaRegion>
      <cx:axis id="0">
        <cx:catScaling gapWidth="1"/>
        <cx:tickLabels/>
      </cx:axis>
      <cx:axis id="1">
        <cx:valScaling/>
        <cx:majorGridlines/>
        <cx:tickLabels/>
      </cx:axis>
    </cx:plotArea>
  </cx:chart>
</cx:chartSpace>
</file>

<file path=word/charts/colors1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2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3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4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style1.xml><?xml version="1.0" encoding="utf-8"?>
<cs:chartStyle xmlns:cs="http://schemas.microsoft.com/office/drawing/2012/chartStyle" xmlns:a="http://schemas.openxmlformats.org/drawingml/2006/main" id="406">
  <cs:axisTitle>
    <cs:lnRef idx="0"/>
    <cs:fillRef idx="0"/>
    <cs:effectRef idx="0"/>
    <cs:fontRef idx="minor">
      <a:schemeClr val="tx1">
        <a:lumMod val="65000"/>
        <a:lumOff val="35000"/>
      </a:schemeClr>
    </cs:fontRef>
    <cs:defRPr sz="9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/>
  </cs:chartArea>
  <cs:dataLabel>
    <cs:lnRef idx="0"/>
    <cs:fillRef idx="0"/>
    <cs:effectRef idx="0"/>
    <cs:fontRef idx="minor">
      <a:schemeClr val="tx1">
        <a:lumMod val="65000"/>
        <a:lumOff val="35000"/>
      </a:schemeClr>
    </cs:fontRef>
    <cs:defRPr sz="9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>
      <cs:styleClr val="auto"/>
    </cs:lnRef>
    <cs:fillRef idx="0">
      <cs:styleClr val="auto"/>
    </cs:fillRef>
    <cs:effectRef idx="0"/>
    <cs:fontRef idx="minor">
      <a:schemeClr val="tx1"/>
    </cs:fontRef>
    <cs:spPr>
      <a:solidFill>
        <a:schemeClr val="phClr"/>
      </a:solidFill>
      <a:ln>
        <a:solidFill>
          <a:schemeClr val="phClr"/>
        </a:solidFill>
      </a:ln>
    </cs:spPr>
  </cs:dataPoint>
  <cs:dataPoint3D>
    <cs:lnRef idx="0"/>
    <cs:fillRef idx="0">
      <cs:styleClr val="auto"/>
    </cs:fillRef>
    <cs:effectRef idx="0"/>
    <cs:fontRef idx="minor">
      <a:schemeClr val="tx1"/>
    </cs:fontRef>
    <cs:spPr>
      <a:solidFill>
        <a:schemeClr val="phClr"/>
      </a:solidFill>
    </cs:spPr>
  </cs:dataPoint3D>
  <cs:dataPointLine>
    <cs:lnRef idx="0">
      <cs:styleClr val="auto"/>
    </cs:lnRef>
    <cs:fillRef idx="0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/>
    <cs:fillRef idx="0">
      <cs:styleClr val="auto"/>
    </cs:fillRef>
    <cs:effectRef idx="0"/>
    <cs:fontRef idx="minor">
      <a:schemeClr val="tx1"/>
    </cs:fontRef>
    <cs:spPr>
      <a:solidFill>
        <a:schemeClr val="phClr"/>
      </a:solidFill>
      <a:ln w="9525">
        <a:solidFill>
          <a:schemeClr val="lt1"/>
        </a:solidFill>
      </a:ln>
    </cs:spPr>
  </cs:dataPointMarker>
  <cs:dataPointMarkerLayout symbol="circle" size="5"/>
  <cs:dataPointWireframe>
    <cs:lnRef idx="0">
      <cs:styleClr val="auto"/>
    </cs:lnRef>
    <cs:fillRef idx="0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ln w="9525">
        <a:solidFill>
          <a:schemeClr val="tx1">
            <a:lumMod val="15000"/>
            <a:lumOff val="85000"/>
          </a:schemeClr>
        </a:solidFill>
      </a:ln>
    </cs:spPr>
    <cs:defRPr sz="900"/>
  </cs:dataTable>
  <cs:downBar>
    <cs:lnRef idx="0"/>
    <cs:fillRef idx="0"/>
    <cs:effectRef idx="0"/>
    <cs:fontRef idx="minor">
      <a:schemeClr val="dk1"/>
    </cs:fontRef>
    <cs:spPr>
      <a:solidFill>
        <a:schemeClr val="dk1">
          <a:lumMod val="65000"/>
          <a:lumOff val="35000"/>
        </a:schemeClr>
      </a:solidFill>
      <a:ln w="9525">
        <a:solidFill>
          <a:schemeClr val="tx1">
            <a:lumMod val="65000"/>
            <a:lumOff val="35000"/>
          </a:schemeClr>
        </a:solidFill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75000"/>
            <a:lumOff val="25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/>
  </cs:seriesAxis>
  <cs:seriesLine>
    <cs:lnRef idx="0"/>
    <cs:fillRef idx="0"/>
    <cs:effectRef idx="0"/>
    <cs:fontRef idx="minor">
      <a:schemeClr val="tx1"/>
    </cs:fontRef>
    <cs:spPr>
      <a:ln w="9525" cap="flat">
        <a:solidFill>
          <a:srgbClr val="D9D9D9"/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ash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/>
  </cs:trendlineLabel>
  <cs:upBar>
    <cs:lnRef idx="0"/>
    <cs:fillRef idx="0"/>
    <cs:effectRef idx="0"/>
    <cs:fontRef idx="minor">
      <a:schemeClr val="dk1"/>
    </cs:fontRef>
    <cs:spPr>
      <a:solidFill>
        <a:schemeClr val="lt1"/>
      </a:solidFill>
      <a:ln w="9525">
        <a:solidFill>
          <a:schemeClr val="tx1">
            <a:lumMod val="15000"/>
            <a:lumOff val="85000"/>
          </a:schemeClr>
        </a:solidFill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/>
  </cs:valueAxis>
  <cs:wall>
    <cs:lnRef idx="0"/>
    <cs:fillRef idx="0"/>
    <cs:effectRef idx="0"/>
    <cs:fontRef idx="minor">
      <a:schemeClr val="tx1"/>
    </cs:fontRef>
  </cs:wall>
</cs:chartStyle>
</file>

<file path=word/charts/style2.xml><?xml version="1.0" encoding="utf-8"?>
<cs:chartStyle xmlns:cs="http://schemas.microsoft.com/office/drawing/2012/chartStyle" xmlns:a="http://schemas.openxmlformats.org/drawingml/2006/main" id="406">
  <cs:axisTitle>
    <cs:lnRef idx="0"/>
    <cs:fillRef idx="0"/>
    <cs:effectRef idx="0"/>
    <cs:fontRef idx="minor">
      <a:schemeClr val="tx1">
        <a:lumMod val="65000"/>
        <a:lumOff val="35000"/>
      </a:schemeClr>
    </cs:fontRef>
    <cs:defRPr sz="9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/>
  </cs:chartArea>
  <cs:dataLabel>
    <cs:lnRef idx="0"/>
    <cs:fillRef idx="0"/>
    <cs:effectRef idx="0"/>
    <cs:fontRef idx="minor">
      <a:schemeClr val="tx1">
        <a:lumMod val="65000"/>
        <a:lumOff val="35000"/>
      </a:schemeClr>
    </cs:fontRef>
    <cs:defRPr sz="9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>
      <cs:styleClr val="auto"/>
    </cs:lnRef>
    <cs:fillRef idx="0">
      <cs:styleClr val="auto"/>
    </cs:fillRef>
    <cs:effectRef idx="0"/>
    <cs:fontRef idx="minor">
      <a:schemeClr val="tx1"/>
    </cs:fontRef>
    <cs:spPr>
      <a:solidFill>
        <a:schemeClr val="phClr"/>
      </a:solidFill>
      <a:ln>
        <a:solidFill>
          <a:schemeClr val="phClr"/>
        </a:solidFill>
      </a:ln>
    </cs:spPr>
  </cs:dataPoint>
  <cs:dataPoint3D>
    <cs:lnRef idx="0"/>
    <cs:fillRef idx="0">
      <cs:styleClr val="auto"/>
    </cs:fillRef>
    <cs:effectRef idx="0"/>
    <cs:fontRef idx="minor">
      <a:schemeClr val="tx1"/>
    </cs:fontRef>
    <cs:spPr>
      <a:solidFill>
        <a:schemeClr val="phClr"/>
      </a:solidFill>
    </cs:spPr>
  </cs:dataPoint3D>
  <cs:dataPointLine>
    <cs:lnRef idx="0">
      <cs:styleClr val="auto"/>
    </cs:lnRef>
    <cs:fillRef idx="0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/>
    <cs:fillRef idx="0">
      <cs:styleClr val="auto"/>
    </cs:fillRef>
    <cs:effectRef idx="0"/>
    <cs:fontRef idx="minor">
      <a:schemeClr val="tx1"/>
    </cs:fontRef>
    <cs:spPr>
      <a:solidFill>
        <a:schemeClr val="phClr"/>
      </a:solidFill>
      <a:ln w="9525">
        <a:solidFill>
          <a:schemeClr val="lt1"/>
        </a:solidFill>
      </a:ln>
    </cs:spPr>
  </cs:dataPointMarker>
  <cs:dataPointMarkerLayout symbol="circle" size="5"/>
  <cs:dataPointWireframe>
    <cs:lnRef idx="0">
      <cs:styleClr val="auto"/>
    </cs:lnRef>
    <cs:fillRef idx="0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ln w="9525">
        <a:solidFill>
          <a:schemeClr val="tx1">
            <a:lumMod val="15000"/>
            <a:lumOff val="85000"/>
          </a:schemeClr>
        </a:solidFill>
      </a:ln>
    </cs:spPr>
    <cs:defRPr sz="900"/>
  </cs:dataTable>
  <cs:downBar>
    <cs:lnRef idx="0"/>
    <cs:fillRef idx="0"/>
    <cs:effectRef idx="0"/>
    <cs:fontRef idx="minor">
      <a:schemeClr val="dk1"/>
    </cs:fontRef>
    <cs:spPr>
      <a:solidFill>
        <a:schemeClr val="dk1">
          <a:lumMod val="65000"/>
          <a:lumOff val="35000"/>
        </a:schemeClr>
      </a:solidFill>
      <a:ln w="9525">
        <a:solidFill>
          <a:schemeClr val="tx1">
            <a:lumMod val="65000"/>
            <a:lumOff val="35000"/>
          </a:schemeClr>
        </a:solidFill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75000"/>
            <a:lumOff val="25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/>
  </cs:seriesAxis>
  <cs:seriesLine>
    <cs:lnRef idx="0"/>
    <cs:fillRef idx="0"/>
    <cs:effectRef idx="0"/>
    <cs:fontRef idx="minor">
      <a:schemeClr val="tx1"/>
    </cs:fontRef>
    <cs:spPr>
      <a:ln w="9525" cap="flat">
        <a:solidFill>
          <a:srgbClr val="D9D9D9"/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ash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/>
  </cs:trendlineLabel>
  <cs:upBar>
    <cs:lnRef idx="0"/>
    <cs:fillRef idx="0"/>
    <cs:effectRef idx="0"/>
    <cs:fontRef idx="minor">
      <a:schemeClr val="dk1"/>
    </cs:fontRef>
    <cs:spPr>
      <a:solidFill>
        <a:schemeClr val="lt1"/>
      </a:solidFill>
      <a:ln w="9525">
        <a:solidFill>
          <a:schemeClr val="tx1">
            <a:lumMod val="15000"/>
            <a:lumOff val="85000"/>
          </a:schemeClr>
        </a:solidFill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/>
  </cs:valueAxis>
  <cs:wall>
    <cs:lnRef idx="0"/>
    <cs:fillRef idx="0"/>
    <cs:effectRef idx="0"/>
    <cs:fontRef idx="minor">
      <a:schemeClr val="tx1"/>
    </cs:fontRef>
  </cs:wall>
</cs:chartStyle>
</file>

<file path=word/charts/style3.xml><?xml version="1.0" encoding="utf-8"?>
<cs:chartStyle xmlns:cs="http://schemas.microsoft.com/office/drawing/2012/chartStyle" xmlns:a="http://schemas.openxmlformats.org/drawingml/2006/main" id="406">
  <cs:axisTitle>
    <cs:lnRef idx="0"/>
    <cs:fillRef idx="0"/>
    <cs:effectRef idx="0"/>
    <cs:fontRef idx="minor">
      <a:schemeClr val="tx1">
        <a:lumMod val="65000"/>
        <a:lumOff val="35000"/>
      </a:schemeClr>
    </cs:fontRef>
    <cs:defRPr sz="9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/>
  </cs:chartArea>
  <cs:dataLabel>
    <cs:lnRef idx="0"/>
    <cs:fillRef idx="0"/>
    <cs:effectRef idx="0"/>
    <cs:fontRef idx="minor">
      <a:schemeClr val="tx1">
        <a:lumMod val="65000"/>
        <a:lumOff val="35000"/>
      </a:schemeClr>
    </cs:fontRef>
    <cs:defRPr sz="9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>
      <cs:styleClr val="auto"/>
    </cs:lnRef>
    <cs:fillRef idx="0">
      <cs:styleClr val="auto"/>
    </cs:fillRef>
    <cs:effectRef idx="0"/>
    <cs:fontRef idx="minor">
      <a:schemeClr val="tx1"/>
    </cs:fontRef>
    <cs:spPr>
      <a:solidFill>
        <a:schemeClr val="phClr"/>
      </a:solidFill>
      <a:ln>
        <a:solidFill>
          <a:schemeClr val="phClr"/>
        </a:solidFill>
      </a:ln>
    </cs:spPr>
  </cs:dataPoint>
  <cs:dataPoint3D>
    <cs:lnRef idx="0"/>
    <cs:fillRef idx="0">
      <cs:styleClr val="auto"/>
    </cs:fillRef>
    <cs:effectRef idx="0"/>
    <cs:fontRef idx="minor">
      <a:schemeClr val="tx1"/>
    </cs:fontRef>
    <cs:spPr>
      <a:solidFill>
        <a:schemeClr val="phClr"/>
      </a:solidFill>
    </cs:spPr>
  </cs:dataPoint3D>
  <cs:dataPointLine>
    <cs:lnRef idx="0">
      <cs:styleClr val="auto"/>
    </cs:lnRef>
    <cs:fillRef idx="0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/>
    <cs:fillRef idx="0">
      <cs:styleClr val="auto"/>
    </cs:fillRef>
    <cs:effectRef idx="0"/>
    <cs:fontRef idx="minor">
      <a:schemeClr val="tx1"/>
    </cs:fontRef>
    <cs:spPr>
      <a:solidFill>
        <a:schemeClr val="phClr"/>
      </a:solidFill>
      <a:ln w="9525">
        <a:solidFill>
          <a:schemeClr val="lt1"/>
        </a:solidFill>
      </a:ln>
    </cs:spPr>
  </cs:dataPointMarker>
  <cs:dataPointMarkerLayout symbol="circle" size="5"/>
  <cs:dataPointWireframe>
    <cs:lnRef idx="0">
      <cs:styleClr val="auto"/>
    </cs:lnRef>
    <cs:fillRef idx="0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ln w="9525">
        <a:solidFill>
          <a:schemeClr val="tx1">
            <a:lumMod val="15000"/>
            <a:lumOff val="85000"/>
          </a:schemeClr>
        </a:solidFill>
      </a:ln>
    </cs:spPr>
    <cs:defRPr sz="900"/>
  </cs:dataTable>
  <cs:downBar>
    <cs:lnRef idx="0"/>
    <cs:fillRef idx="0"/>
    <cs:effectRef idx="0"/>
    <cs:fontRef idx="minor">
      <a:schemeClr val="dk1"/>
    </cs:fontRef>
    <cs:spPr>
      <a:solidFill>
        <a:schemeClr val="dk1">
          <a:lumMod val="65000"/>
          <a:lumOff val="35000"/>
        </a:schemeClr>
      </a:solidFill>
      <a:ln w="9525">
        <a:solidFill>
          <a:schemeClr val="tx1">
            <a:lumMod val="65000"/>
            <a:lumOff val="35000"/>
          </a:schemeClr>
        </a:solidFill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75000"/>
            <a:lumOff val="25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/>
  </cs:seriesAxis>
  <cs:seriesLine>
    <cs:lnRef idx="0"/>
    <cs:fillRef idx="0"/>
    <cs:effectRef idx="0"/>
    <cs:fontRef idx="minor">
      <a:schemeClr val="tx1"/>
    </cs:fontRef>
    <cs:spPr>
      <a:ln w="9525" cap="flat">
        <a:solidFill>
          <a:srgbClr val="D9D9D9"/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ash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/>
  </cs:trendlineLabel>
  <cs:upBar>
    <cs:lnRef idx="0"/>
    <cs:fillRef idx="0"/>
    <cs:effectRef idx="0"/>
    <cs:fontRef idx="minor">
      <a:schemeClr val="dk1"/>
    </cs:fontRef>
    <cs:spPr>
      <a:solidFill>
        <a:schemeClr val="lt1"/>
      </a:solidFill>
      <a:ln w="9525">
        <a:solidFill>
          <a:schemeClr val="tx1">
            <a:lumMod val="15000"/>
            <a:lumOff val="85000"/>
          </a:schemeClr>
        </a:solidFill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/>
  </cs:valueAxis>
  <cs:wall>
    <cs:lnRef idx="0"/>
    <cs:fillRef idx="0"/>
    <cs:effectRef idx="0"/>
    <cs:fontRef idx="minor">
      <a:schemeClr val="tx1"/>
    </cs:fontRef>
  </cs:wall>
</cs:chartStyle>
</file>

<file path=word/charts/style4.xml><?xml version="1.0" encoding="utf-8"?>
<cs:chartStyle xmlns:cs="http://schemas.microsoft.com/office/drawing/2012/chartStyle" xmlns:a="http://schemas.openxmlformats.org/drawingml/2006/main" id="406">
  <cs:axisTitle>
    <cs:lnRef idx="0"/>
    <cs:fillRef idx="0"/>
    <cs:effectRef idx="0"/>
    <cs:fontRef idx="minor">
      <a:schemeClr val="tx1">
        <a:lumMod val="65000"/>
        <a:lumOff val="35000"/>
      </a:schemeClr>
    </cs:fontRef>
    <cs:defRPr sz="9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/>
  </cs:chartArea>
  <cs:dataLabel>
    <cs:lnRef idx="0"/>
    <cs:fillRef idx="0"/>
    <cs:effectRef idx="0"/>
    <cs:fontRef idx="minor">
      <a:schemeClr val="tx1">
        <a:lumMod val="65000"/>
        <a:lumOff val="35000"/>
      </a:schemeClr>
    </cs:fontRef>
    <cs:defRPr sz="9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>
      <cs:styleClr val="auto"/>
    </cs:lnRef>
    <cs:fillRef idx="0">
      <cs:styleClr val="auto"/>
    </cs:fillRef>
    <cs:effectRef idx="0"/>
    <cs:fontRef idx="minor">
      <a:schemeClr val="tx1"/>
    </cs:fontRef>
    <cs:spPr>
      <a:solidFill>
        <a:schemeClr val="phClr"/>
      </a:solidFill>
      <a:ln>
        <a:solidFill>
          <a:schemeClr val="phClr"/>
        </a:solidFill>
      </a:ln>
    </cs:spPr>
  </cs:dataPoint>
  <cs:dataPoint3D>
    <cs:lnRef idx="0"/>
    <cs:fillRef idx="0">
      <cs:styleClr val="auto"/>
    </cs:fillRef>
    <cs:effectRef idx="0"/>
    <cs:fontRef idx="minor">
      <a:schemeClr val="tx1"/>
    </cs:fontRef>
    <cs:spPr>
      <a:solidFill>
        <a:schemeClr val="phClr"/>
      </a:solidFill>
    </cs:spPr>
  </cs:dataPoint3D>
  <cs:dataPointLine>
    <cs:lnRef idx="0">
      <cs:styleClr val="auto"/>
    </cs:lnRef>
    <cs:fillRef idx="0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/>
    <cs:fillRef idx="0">
      <cs:styleClr val="auto"/>
    </cs:fillRef>
    <cs:effectRef idx="0"/>
    <cs:fontRef idx="minor">
      <a:schemeClr val="tx1"/>
    </cs:fontRef>
    <cs:spPr>
      <a:solidFill>
        <a:schemeClr val="phClr"/>
      </a:solidFill>
      <a:ln w="9525">
        <a:solidFill>
          <a:schemeClr val="lt1"/>
        </a:solidFill>
      </a:ln>
    </cs:spPr>
  </cs:dataPointMarker>
  <cs:dataPointMarkerLayout symbol="circle" size="5"/>
  <cs:dataPointWireframe>
    <cs:lnRef idx="0">
      <cs:styleClr val="auto"/>
    </cs:lnRef>
    <cs:fillRef idx="0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ln w="9525">
        <a:solidFill>
          <a:schemeClr val="tx1">
            <a:lumMod val="15000"/>
            <a:lumOff val="85000"/>
          </a:schemeClr>
        </a:solidFill>
      </a:ln>
    </cs:spPr>
    <cs:defRPr sz="900"/>
  </cs:dataTable>
  <cs:downBar>
    <cs:lnRef idx="0"/>
    <cs:fillRef idx="0"/>
    <cs:effectRef idx="0"/>
    <cs:fontRef idx="minor">
      <a:schemeClr val="dk1"/>
    </cs:fontRef>
    <cs:spPr>
      <a:solidFill>
        <a:schemeClr val="dk1">
          <a:lumMod val="65000"/>
          <a:lumOff val="35000"/>
        </a:schemeClr>
      </a:solidFill>
      <a:ln w="9525">
        <a:solidFill>
          <a:schemeClr val="tx1">
            <a:lumMod val="65000"/>
            <a:lumOff val="35000"/>
          </a:schemeClr>
        </a:solidFill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75000"/>
            <a:lumOff val="25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/>
  </cs:seriesAxis>
  <cs:seriesLine>
    <cs:lnRef idx="0"/>
    <cs:fillRef idx="0"/>
    <cs:effectRef idx="0"/>
    <cs:fontRef idx="minor">
      <a:schemeClr val="tx1"/>
    </cs:fontRef>
    <cs:spPr>
      <a:ln w="9525" cap="flat">
        <a:solidFill>
          <a:srgbClr val="D9D9D9"/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ash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/>
  </cs:trendlineLabel>
  <cs:upBar>
    <cs:lnRef idx="0"/>
    <cs:fillRef idx="0"/>
    <cs:effectRef idx="0"/>
    <cs:fontRef idx="minor">
      <a:schemeClr val="dk1"/>
    </cs:fontRef>
    <cs:spPr>
      <a:solidFill>
        <a:schemeClr val="lt1"/>
      </a:solidFill>
      <a:ln w="9525">
        <a:solidFill>
          <a:schemeClr val="tx1">
            <a:lumMod val="15000"/>
            <a:lumOff val="85000"/>
          </a:schemeClr>
        </a:solidFill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/>
  </cs:valueAxis>
  <cs:wall>
    <cs:lnRef idx="0"/>
    <cs:fillRef idx="0"/>
    <cs:effectRef idx="0"/>
    <cs:fontRef idx="minor">
      <a:schemeClr val="tx1"/>
    </cs:fontRef>
  </cs:wall>
</cs:chartStyle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133</TotalTime>
  <Pages>4</Pages>
  <Words>407</Words>
  <Characters>2323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2725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HP</cp:lastModifiedBy>
  <cp:revision>14</cp:revision>
  <dcterms:created xsi:type="dcterms:W3CDTF">2013-12-23T23:15:00Z</dcterms:created>
  <dcterms:modified xsi:type="dcterms:W3CDTF">2026-05-16T18:49:00Z</dcterms:modified>
  <cp:category/>
</cp:coreProperties>
</file>