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</w:t>
      </w:r>
      <w:r>
        <w:t xml:space="preserve"> </w:t>
      </w:r>
      <w:r>
        <w:t xml:space="preserve">передаваемая от одного процесса другому.</w:t>
      </w:r>
      <w:r>
        <w:t xml:space="preserve"> </w:t>
      </w:r>
      <w:r>
        <w:t xml:space="preserve">В операционных системах типа UNIX есть 3 вида межпроцессорных взаимодействий:</w:t>
      </w:r>
      <w:r>
        <w:t xml:space="preserve"> </w:t>
      </w:r>
      <w:r>
        <w:t xml:space="preserve">общеюниксные (именованные каналы, сигналы), System V Interface Definition (SVID —</w:t>
      </w:r>
      <w:r>
        <w:t xml:space="preserve"> </w:t>
      </w:r>
      <w:r>
        <w:t xml:space="preserve">разделяемая память, очередь сообщений, семафоры) и BSD (сокеты).</w:t>
      </w:r>
      <w:r>
        <w:t xml:space="preserve"> </w:t>
      </w: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</w:t>
      </w:r>
      <w:r>
        <w:t xml:space="preserve"> </w:t>
      </w:r>
      <w:r>
        <w:t xml:space="preserve">In First Out) (первым записан — первым прочитан), поэтому они называются также FIFO</w:t>
      </w:r>
      <w:r>
        <w:t xml:space="preserve"> </w:t>
      </w:r>
      <w:r>
        <w:t xml:space="preserve">pipes или просто FIFO. Именованные каналы отличаются от неименованных наличием</w:t>
      </w:r>
      <w:r>
        <w:t xml:space="preserve"> </w:t>
      </w:r>
      <w:r>
        <w:t xml:space="preserve">идентификатора канала, который представлен как специальный файл (соответственно</w:t>
      </w:r>
      <w:r>
        <w:t xml:space="preserve"> </w:t>
      </w:r>
      <w:r>
        <w:t xml:space="preserve">имя именованного канала — это имя файла). Поскольку файл находится на локальной</w:t>
      </w:r>
      <w:r>
        <w:t xml:space="preserve"> </w:t>
      </w:r>
      <w:r>
        <w:t xml:space="preserve">файловой системе, данное IPC используется внутри одной системы.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Прописал все коды и команды из методички к лабораторной работе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686860"/>
            <wp:effectExtent b="0" l="0" r="0" t="0"/>
            <wp:docPr descr="Figure 1: Код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Код</w:t>
      </w:r>
    </w:p>
    <w:bookmarkEnd w:id="0"/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4277939"/>
            <wp:effectExtent b="0" l="0" r="0" t="0"/>
            <wp:docPr descr="Figure 2: Код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Код</w:t>
      </w:r>
    </w:p>
    <w:bookmarkEnd w:id="0"/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3186080"/>
            <wp:effectExtent b="0" l="0" r="0" t="0"/>
            <wp:docPr descr="Figure 3: Код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Код</w:t>
      </w:r>
    </w:p>
    <w:bookmarkEnd w:id="0"/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3186080"/>
            <wp:effectExtent b="0" l="0" r="0" t="0"/>
            <wp:docPr descr="Figure 4: Код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Код</w:t>
      </w:r>
    </w:p>
    <w:bookmarkEnd w:id="0"/>
    <w:bookmarkStart w:id="0" w:name="fig:001"/>
    <w:p>
      <w:pPr>
        <w:pStyle w:val="CaptionedFigure"/>
      </w:pPr>
      <w:bookmarkStart w:id="41" w:name="fig:001"/>
      <w:r>
        <w:drawing>
          <wp:inline>
            <wp:extent cx="5334000" cy="3186080"/>
            <wp:effectExtent b="0" l="0" r="0" t="0"/>
            <wp:docPr descr="Figure 5: Код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Код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Проверил работу сервера с помощью сервера</w:t>
      </w:r>
    </w:p>
    <w:bookmarkStart w:id="0" w:name="fig:002"/>
    <w:p>
      <w:pPr>
        <w:pStyle w:val="CaptionedFigure"/>
      </w:pPr>
      <w:bookmarkStart w:id="45" w:name="fig:002"/>
      <w:r>
        <w:drawing>
          <wp:inline>
            <wp:extent cx="5334000" cy="357986"/>
            <wp:effectExtent b="0" l="0" r="0" t="0"/>
            <wp:docPr descr="Figure 6: Прописывание команды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Прописывание команды</w:t>
      </w:r>
    </w:p>
    <w:bookmarkEnd w:id="0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работы с именованными каналами.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14</dc:title>
  <dc:creator>Оразгелдиев Язгелди</dc:creator>
  <dc:language>ru-RU</dc:language>
  <cp:keywords/>
  <dcterms:created xsi:type="dcterms:W3CDTF">2023-05-13T01:03:13Z</dcterms:created>
  <dcterms:modified xsi:type="dcterms:W3CDTF">2023-05-13T01:03:13Z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