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1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сделаем схему планируемой сети с указанием типо и номеров портов подключенных устройств, соответствующие физическому уровню модели OSL(L1). Делаем всё в Dia.</w:t>
      </w:r>
    </w:p>
    <w:bookmarkStart w:id="25" w:name="fig:001"/>
    <w:p>
      <w:pPr>
        <w:pStyle w:val="CaptionedFigure"/>
      </w:pPr>
      <w:r>
        <w:drawing>
          <wp:inline>
            <wp:extent cx="3733800" cy="2316544"/>
            <wp:effectExtent b="0" l="0" r="0" t="0"/>
            <wp:docPr descr="Рис. 1: Физические устройства сети с номерами портов(L1)" title="" id="23" name="Picture"/>
            <a:graphic>
              <a:graphicData uri="http://schemas.openxmlformats.org/drawingml/2006/picture">
                <pic:pic>
                  <pic:nvPicPr>
                    <pic:cNvPr descr="image/10.128.0.0_L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Физические устройства сети с номерами портов(L1)</w:t>
      </w:r>
    </w:p>
    <w:bookmarkEnd w:id="25"/>
    <w:p>
      <w:pPr>
        <w:pStyle w:val="BodyText"/>
      </w:pPr>
      <w:r>
        <w:t xml:space="preserve">В качестве оборудования уровня ядра используем маршрутизатор Циско 2811,на уровне распределения — коммутаторы Cisco 2960 с возможностью 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1. Рекомендуется выделять в отдельные подсети (VLAN) устройства управления сетью, а также различные группы пользователей.</w:t>
      </w:r>
    </w:p>
    <w:bookmarkStart w:id="26" w:name="tbl:vlan"/>
    <w:p>
      <w:pPr>
        <w:pStyle w:val="TableCaption"/>
      </w:pPr>
      <w:r>
        <w:t xml:space="preserve">Таблица 1: Таблица VLAN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VLA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№ VLAN</w:t>
            </w:r>
          </w:p>
        </w:tc>
        <w:tc>
          <w:tcPr/>
          <w:p>
            <w:pPr>
              <w:pStyle w:val="Compact"/>
            </w:pPr>
            <w:r>
              <w:t xml:space="preserve">Имя VLAN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management</w:t>
            </w:r>
          </w:p>
        </w:tc>
        <w:tc>
          <w:tcPr/>
          <w:p>
            <w:pPr>
              <w:pStyle w:val="Compac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servers</w:t>
            </w:r>
          </w:p>
        </w:tc>
        <w:tc>
          <w:tcPr/>
          <w:p>
            <w:pPr>
              <w:pStyle w:val="Compac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departamens</w:t>
            </w:r>
          </w:p>
        </w:tc>
        <w:tc>
          <w:tcPr/>
          <w:p>
            <w:pPr>
              <w:pStyle w:val="Compac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Для других пользователей</w:t>
            </w:r>
          </w:p>
        </w:tc>
      </w:tr>
    </w:tbl>
    <w:bookmarkEnd w:id="26"/>
    <w:p>
      <w:pPr>
        <w:pStyle w:val="BodyText"/>
      </w:pPr>
      <w:r>
        <w:t xml:space="preserve">Теперь построим схему сети и с указанием номеров VLAN, соответствующая канальному уровню модели OSI (L2)</w:t>
      </w:r>
    </w:p>
    <w:bookmarkStart w:id="30" w:name="fig:002"/>
    <w:p>
      <w:pPr>
        <w:pStyle w:val="CaptionedFigure"/>
      </w:pPr>
      <w:r>
        <w:drawing>
          <wp:inline>
            <wp:extent cx="3733800" cy="2287230"/>
            <wp:effectExtent b="0" l="0" r="0" t="0"/>
            <wp:docPr descr="Рис. 2: Схема VLAN сети(L2)" title="" id="28" name="Picture"/>
            <a:graphic>
              <a:graphicData uri="http://schemas.openxmlformats.org/drawingml/2006/picture">
                <pic:pic>
                  <pic:nvPicPr>
                    <pic:cNvPr descr="image/10.128.0.0_L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VLAN сети(L2)</w:t>
      </w:r>
    </w:p>
    <w:bookmarkEnd w:id="30"/>
    <w:p>
      <w:pPr>
        <w:pStyle w:val="BodyText"/>
      </w:pPr>
      <w:r>
        <w:t xml:space="preserve">Далее определим адресное пространство, ассоциированное с выделенными VLAN. Сделаем схему сети, соответствующую сетевому уровню модели OSI (L3)</w:t>
      </w:r>
    </w:p>
    <w:bookmarkStart w:id="34" w:name="fig:003"/>
    <w:p>
      <w:pPr>
        <w:pStyle w:val="CaptionedFigure"/>
      </w:pPr>
      <w:r>
        <w:drawing>
          <wp:inline>
            <wp:extent cx="3733800" cy="2242385"/>
            <wp:effectExtent b="0" l="0" r="0" t="0"/>
            <wp:docPr descr="Рис. 3: Схема маршрутизации сети (Layer 3)" title="" id="32" name="Picture"/>
            <a:graphic>
              <a:graphicData uri="http://schemas.openxmlformats.org/drawingml/2006/picture">
                <pic:pic>
                  <pic:nvPicPr>
                    <pic:cNvPr descr="image/10.128.0.0_L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маршрутизации сети (Layer 3)</w:t>
      </w:r>
    </w:p>
    <w:bookmarkEnd w:id="34"/>
    <w:p>
      <w:pPr>
        <w:pStyle w:val="BodyText"/>
      </w:pPr>
      <w:r>
        <w:t xml:space="preserve">Более детальное распределение IP-адресов в сети представлено в табл. 2.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35" w:name="tbl:ip"/>
    <w:p>
      <w:pPr>
        <w:pStyle w:val="TableCaption"/>
      </w:pPr>
      <w:r>
        <w:t xml:space="preserve">Таблица 2: 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10.128.1.3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10.128.1.4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10.128.1.5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10.128.1.6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p>
      <w:pPr>
        <w:pStyle w:val="BodyText"/>
      </w:pPr>
      <w:r>
        <w:t xml:space="preserve">В табл. 3 приведён план подключения оборудования сети по портам.</w:t>
      </w:r>
    </w:p>
    <w:bookmarkStart w:id="36" w:name="tbl:fiz"/>
    <w:p>
      <w:pPr>
        <w:pStyle w:val="TableCaption"/>
      </w:pPr>
      <w:r>
        <w:t xml:space="preserve">Таблица 3: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Порт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Access VLAN</w:t>
            </w:r>
          </w:p>
        </w:tc>
        <w:tc>
          <w:tcPr/>
          <w:p>
            <w:pPr>
              <w:pStyle w:val="Compac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msk-donskaya-yazgeldi-gw-1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msk-donskaya-yazgeldi-sw-1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msk-donskaya-yazgeldi-sw-2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Web-server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File-server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msk-donskaya-yazgeldi-sw-3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Mail-server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Dns-server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msk-donskaya-yazgeldi-sw-4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</w:pPr>
            <w:r>
              <w:t xml:space="preserve">departments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msk-pavlovskaya-yazgeldi-sw-1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f0/20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6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</w:pPr>
            <w:r>
              <w:t xml:space="preserve">2–19</w:t>
            </w:r>
          </w:p>
        </w:tc>
        <w:tc>
          <w:tcPr/>
          <w:p>
            <w:pPr>
              <w:pStyle w:val="Compac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20–29</w:t>
            </w:r>
          </w:p>
        </w:tc>
        <w:tc>
          <w:tcPr/>
          <w:p>
            <w:pPr>
              <w:pStyle w:val="Compac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30–199</w:t>
            </w:r>
          </w:p>
        </w:tc>
        <w:tc>
          <w:tcPr/>
          <w:p>
            <w:pPr>
              <w:pStyle w:val="Compac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200–219</w:t>
            </w:r>
          </w:p>
        </w:tc>
        <w:tc>
          <w:tcPr/>
          <w:p>
            <w:pPr>
              <w:pStyle w:val="Compac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220–229</w:t>
            </w:r>
          </w:p>
        </w:tc>
        <w:tc>
          <w:tcPr/>
          <w:p>
            <w:pPr>
              <w:pStyle w:val="Compac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230–254</w:t>
            </w:r>
          </w:p>
        </w:tc>
        <w:tc>
          <w:tcPr/>
          <w:p>
            <w:pPr>
              <w:pStyle w:val="Compact"/>
            </w:pPr>
            <w:r>
              <w:t xml:space="preserve">Резерв</w:t>
            </w:r>
          </w:p>
        </w:tc>
      </w:tr>
    </w:tbl>
    <w:p>
      <w:pPr>
        <w:pStyle w:val="BodyText"/>
      </w:pPr>
      <w:r>
        <w:t xml:space="preserve">Выполним аналогичную планировку сети для двух других сетей: 172.16.0.0/12 и 192.168.0.0/16 (сеть класса С). Физический и канальный уровни остаются теми же, меняется только сетевой уровень. Рисуем схемы маршрутизации для этих сетей.</w:t>
      </w:r>
    </w:p>
    <w:bookmarkStart w:id="40" w:name="fig:004"/>
    <w:p>
      <w:pPr>
        <w:pStyle w:val="CaptionedFigure"/>
      </w:pPr>
      <w:r>
        <w:drawing>
          <wp:inline>
            <wp:extent cx="3733800" cy="2267082"/>
            <wp:effectExtent b="0" l="0" r="0" t="0"/>
            <wp:docPr descr="Рис. 4: Схема маршрутизации сети 172.16.0.0/12(Layer 3)" title="" id="38" name="Picture"/>
            <a:graphic>
              <a:graphicData uri="http://schemas.openxmlformats.org/drawingml/2006/picture">
                <pic:pic>
                  <pic:nvPicPr>
                    <pic:cNvPr descr="image/172.16.0.0_L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маршрутизации сети 172.16.0.0/12(Layer 3)</w:t>
      </w:r>
    </w:p>
    <w:bookmarkEnd w:id="40"/>
    <w:bookmarkStart w:id="44" w:name="fig:005"/>
    <w:p>
      <w:pPr>
        <w:pStyle w:val="CaptionedFigure"/>
      </w:pPr>
      <w:r>
        <w:drawing>
          <wp:inline>
            <wp:extent cx="3733800" cy="2000377"/>
            <wp:effectExtent b="0" l="0" r="0" t="0"/>
            <wp:docPr descr="Рис. 5: Схема маршрутизации сети 192.168.0.0/16(Layer 3)" title="" id="42" name="Picture"/>
            <a:graphic>
              <a:graphicData uri="http://schemas.openxmlformats.org/drawingml/2006/picture">
                <pic:pic>
                  <pic:nvPicPr>
                    <pic:cNvPr descr="image/192.168.0.0_L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Схема маршрутизации сети 192.168.0.0/16(Layer 3)</w:t>
      </w:r>
    </w:p>
    <w:bookmarkEnd w:id="44"/>
    <w:p>
      <w:pPr>
        <w:pStyle w:val="BodyText"/>
      </w:pPr>
      <w:r>
        <w:t xml:space="preserve">В табл. 4 и табл. 5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45" w:name="tbl:ip2"/>
    <w:p>
      <w:pPr>
        <w:pStyle w:val="TableCaption"/>
      </w:pPr>
      <w:r>
        <w:t xml:space="preserve">Таблица 4: Таблица IP. Сеть 172.16.0.0/12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4: Таблица IP. Сеть 172.16.0.0/12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172.16.1.3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172.16.1.4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172.16.1.5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172.16.1.6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172.16.6.1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Start w:id="46" w:name="tbl:ip3"/>
    <w:p>
      <w:pPr>
        <w:pStyle w:val="TableCaption"/>
      </w:pPr>
      <w:r>
        <w:t xml:space="preserve">Таблица 5: Таблица IP. Сеть 192.168.0.0/16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5: Таблица IP. Сеть 192.16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192.168.1.3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192.168.1.4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192.168.1.5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192.168.1.6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192.168.6.1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познакомился с принципами планирования локальной сети организации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Оразгелдиев Язгелди</dc:creator>
  <dc:language>ru-RU</dc:language>
  <cp:keywords/>
  <dcterms:created xsi:type="dcterms:W3CDTF">2025-03-01T19:25:52Z</dcterms:created>
  <dcterms:modified xsi:type="dcterms:W3CDTF">2025-03-01T19:25:52Z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