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4.jpg" ContentType="image/jpeg"/>
  <Override PartName="/word/media/rId42.jpg" ContentType="image/jpeg"/>
  <Override PartName="/word/media/rId46.jpg" ContentType="image/jpeg"/>
  <Override PartName="/word/media/rId38.jpg" ContentType="image/jpeg"/>
  <Override PartName="/word/media/rId3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2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протокола TCP и алгоритма управления очередью RED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</w:t>
      </w:r>
    </w:p>
    <w:p>
      <w:pPr>
        <w:pStyle w:val="Compact"/>
        <w:numPr>
          <w:ilvl w:val="0"/>
          <w:numId w:val="1001"/>
        </w:numPr>
      </w:pPr>
      <w:r>
        <w:t xml:space="preserve">Измените в модели на узле s1 тип протокола TCP с Reno на NewReno, затем на Vegas. Сравните и поясните результаты.</w:t>
      </w:r>
    </w:p>
    <w:p>
      <w:pPr>
        <w:pStyle w:val="Compact"/>
        <w:numPr>
          <w:ilvl w:val="0"/>
          <w:numId w:val="1001"/>
        </w:numPr>
      </w:pPr>
      <w:r>
        <w:t xml:space="preserve">Внесите изменения при отображении окон с графиками (измените цвет фона, цвет траекторий, подписи к осям, подпись траектории в легенде).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описанием.</w:t>
      </w:r>
      <w:r>
        <w:t xml:space="preserve"> </w:t>
      </w:r>
      <w:bookmarkStart w:id="25" w:name="fig:001"/>
      <w:r>
        <w:drawing>
          <wp:inline>
            <wp:extent cx="3733800" cy="1300162"/>
            <wp:effectExtent b="0" l="0" r="0" t="0"/>
            <wp:docPr descr="Условие" title="" id="23" name="Picture"/>
            <a:graphic>
              <a:graphicData uri="http://schemas.openxmlformats.org/drawingml/2006/picture">
                <pic:pic>
                  <pic:nvPicPr>
                    <pic:cNvPr descr="image/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После запуска кода выше, получаем график изменения ТСР-окна и график изменения длины очереди и ср. длины очереди</w:t>
      </w:r>
      <w:r>
        <w:t xml:space="preserve"> </w:t>
      </w:r>
      <w:bookmarkStart w:id="29" w:name="fig:002"/>
      <w:r>
        <w:drawing>
          <wp:inline>
            <wp:extent cx="3733800" cy="1889428"/>
            <wp:effectExtent b="0" l="0" r="0" t="0"/>
            <wp:docPr descr="График изменения ТСР-окна и график изменения длины очереди и ср.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По графику мы видим что средняя длина очереди находится в отрезке 2 и 4. Максимальная длина - 14</w:t>
      </w:r>
    </w:p>
    <w:p>
      <w:pPr>
        <w:pStyle w:val="BodyText"/>
      </w:pPr>
      <w:r>
        <w:t xml:space="preserve">Изменения протокола ТСР</w:t>
      </w:r>
    </w:p>
    <w:p>
      <w:pPr>
        <w:pStyle w:val="BodyText"/>
      </w:pPr>
      <w:r>
        <w:t xml:space="preserve">В условии требуется изменить тип Reno на Newreno. Поэтому меняем следующий пункт кода</w:t>
      </w:r>
    </w:p>
    <w:bookmarkStart w:id="33" w:name="fig:002"/>
    <w:p>
      <w:pPr>
        <w:pStyle w:val="CaptionedFigure"/>
      </w:pPr>
      <w:r>
        <w:drawing>
          <wp:inline>
            <wp:extent cx="3733800" cy="777144"/>
            <wp:effectExtent b="0" l="0" r="0" t="0"/>
            <wp:docPr descr="Рис. 1: Newreno" title="" id="31" name="Picture"/>
            <a:graphic>
              <a:graphicData uri="http://schemas.openxmlformats.org/drawingml/2006/picture">
                <pic:pic>
                  <pic:nvPicPr>
                    <pic:cNvPr descr="image/newreno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Newreno</w:t>
      </w:r>
    </w:p>
    <w:bookmarkEnd w:id="33"/>
    <w:p>
      <w:pPr>
        <w:pStyle w:val="BodyText"/>
      </w:pPr>
      <w:r>
        <w:t xml:space="preserve">По итогу получаем новый график изменений ТСР и график изменения длины очереди и средней длины очереди</w:t>
      </w:r>
    </w:p>
    <w:bookmarkStart w:id="37" w:name="fig:003"/>
    <w:p>
      <w:pPr>
        <w:pStyle w:val="CaptionedFigure"/>
      </w:pPr>
      <w:r>
        <w:drawing>
          <wp:inline>
            <wp:extent cx="3733800" cy="1887977"/>
            <wp:effectExtent b="0" l="0" r="0" t="0"/>
            <wp:docPr descr="Рис. 2: Графики с типом Newreno" title="" id="35" name="Picture"/>
            <a:graphic>
              <a:graphicData uri="http://schemas.openxmlformats.org/drawingml/2006/picture">
                <pic:pic>
                  <pic:nvPicPr>
                    <pic:cNvPr descr="image/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Графики с типом Newreno</w:t>
      </w:r>
    </w:p>
    <w:bookmarkEnd w:id="37"/>
    <w:p>
      <w:pPr>
        <w:pStyle w:val="BodyText"/>
      </w:pPr>
      <w:r>
        <w:t xml:space="preserve">Сильных отличий от прошлого графика у нас нет. В обоих случаях средняя длина очереди находится в отрезке 2 и 4.</w:t>
      </w:r>
      <w:r>
        <w:t xml:space="preserve"> </w:t>
      </w:r>
      <w:r>
        <w:t xml:space="preserve">Максимальная длина - 14. И кстати в обоих случаях размер окна увеличивается до тех пор, пока не произойдет потеря сегмента(пакета)</w:t>
      </w:r>
    </w:p>
    <w:p>
      <w:pPr>
        <w:pStyle w:val="BodyText"/>
      </w:pPr>
      <w:r>
        <w:t xml:space="preserve">Теперь мы поменяем тип на Vegas</w:t>
      </w:r>
    </w:p>
    <w:bookmarkStart w:id="41" w:name="fig:004"/>
    <w:p>
      <w:pPr>
        <w:pStyle w:val="CaptionedFigure"/>
      </w:pPr>
      <w:r>
        <w:drawing>
          <wp:inline>
            <wp:extent cx="3733800" cy="747928"/>
            <wp:effectExtent b="0" l="0" r="0" t="0"/>
            <wp:docPr descr="Рис. 3: Vegas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Vegas</w:t>
      </w:r>
    </w:p>
    <w:bookmarkEnd w:id="41"/>
    <w:p>
      <w:pPr>
        <w:pStyle w:val="BodyText"/>
      </w:pPr>
      <w:r>
        <w:t xml:space="preserve">Выводим график</w:t>
      </w:r>
    </w:p>
    <w:bookmarkStart w:id="45" w:name="fig:005"/>
    <w:p>
      <w:pPr>
        <w:pStyle w:val="CaptionedFigure"/>
      </w:pPr>
      <w:r>
        <w:drawing>
          <wp:inline>
            <wp:extent cx="3733800" cy="1893153"/>
            <wp:effectExtent b="0" l="0" r="0" t="0"/>
            <wp:docPr descr="Рис. 4: График с типом Vegas" title="" id="43" name="Picture"/>
            <a:graphic>
              <a:graphicData uri="http://schemas.openxmlformats.org/drawingml/2006/picture">
                <pic:pic>
                  <pic:nvPicPr>
                    <pic:cNvPr descr="image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с типом Vegas</w:t>
      </w:r>
    </w:p>
    <w:bookmarkEnd w:id="45"/>
    <w:p>
      <w:pPr>
        <w:pStyle w:val="BodyText"/>
      </w:pPr>
      <w:r>
        <w:t xml:space="preserve">По графику мы видим, что средняя длина очереди опять находится в отрезке от 2 до 4, но значение длины чаще бывает меньше,</w:t>
      </w:r>
      <w:r>
        <w:t xml:space="preserve"> </w:t>
      </w:r>
      <w:r>
        <w:t xml:space="preserve">чем в прошлых типах. Максимальная длина - 14. Отличие мы видим по графику динамики размера окна. При типе Вегас размер окна</w:t>
      </w:r>
      <w:r>
        <w:t xml:space="preserve"> </w:t>
      </w:r>
      <w:r>
        <w:t xml:space="preserve">где-то 20, в то время как у Newreno он равен 34. ТСР Vegas находит перегруз в сети до потери пакета и моментально уменьшает размер</w:t>
      </w:r>
      <w:r>
        <w:t xml:space="preserve"> </w:t>
      </w:r>
      <w:r>
        <w:t xml:space="preserve">окна. Он обрабатывает перегрузку без потери пакета</w:t>
      </w:r>
    </w:p>
    <w:p>
      <w:pPr>
        <w:pStyle w:val="BodyText"/>
      </w:pPr>
      <w:r>
        <w:t xml:space="preserve">Изменение отображения окон с графиками</w:t>
      </w:r>
    </w:p>
    <w:p>
      <w:pPr>
        <w:pStyle w:val="BodyText"/>
      </w:pPr>
      <w:r>
        <w:t xml:space="preserve">Этот пункт чуть проще остальных. Нам необходимо было изменить цвет фона, траекторий, подпись к осям и подпись траекторий в легенде</w:t>
      </w:r>
      <w:r>
        <w:t xml:space="preserve"> </w:t>
      </w:r>
      <w:r>
        <w:t xml:space="preserve">Меняем код</w:t>
      </w:r>
    </w:p>
    <w:p>
      <w:pPr>
        <w:pStyle w:val="BodyText"/>
      </w:pPr>
      <w:r>
        <w:t xml:space="preserve">Выводим на экран результат</w:t>
      </w:r>
    </w:p>
    <w:bookmarkStart w:id="49" w:name="fig:006"/>
    <w:p>
      <w:pPr>
        <w:pStyle w:val="CaptionedFigure"/>
      </w:pPr>
      <w:r>
        <w:drawing>
          <wp:inline>
            <wp:extent cx="3733800" cy="3858467"/>
            <wp:effectExtent b="0" l="0" r="0" t="0"/>
            <wp:docPr descr="Рис. 5: График с изменениями цветов и названий легенд, подписей" title="" id="47" name="Picture"/>
            <a:graphic>
              <a:graphicData uri="http://schemas.openxmlformats.org/drawingml/2006/picture">
                <pic:pic>
                  <pic:nvPicPr>
                    <pic:cNvPr descr="image/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с изменениями цветов и названий легенд, подписей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исследовал протокол ТСР и алгоритм управления очередью RED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38" Target="media/rId38.jpg" /><Relationship Type="http://schemas.openxmlformats.org/officeDocument/2006/relationships/image" Id="rId30" Target="media/rId30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Оразгелдиев Язгелди</dc:creator>
  <dc:language>ru-RU</dc:language>
  <cp:keywords/>
  <dcterms:created xsi:type="dcterms:W3CDTF">2025-02-25T22:57:10Z</dcterms:created>
  <dcterms:modified xsi:type="dcterms:W3CDTF">2025-02-25T22:57:10Z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