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jpg" ContentType="image/jpeg"/>
  <Override PartName="/word/media/rId62.jpg" ContentType="image/jpeg"/>
  <Override PartName="/word/media/rId58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38.jpg" ContentType="image/jpeg"/>
  <Override PartName="/word/media/rId42.jpg" ContentType="image/jpeg"/>
  <Override PartName="/word/media/rId30.jpg" ContentType="image/jpeg"/>
  <Override PartName="/word/media/rId34.jpg" ContentType="image/jpeg"/>
  <Override PartName="/word/media/rId46.jpg" ContentType="image/jpeg"/>
  <Override PartName="/word/media/rId50.jpg" ContentType="image/jpeg"/>
  <Override PartName="/word/media/rId26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Реализуйте модель TCP/AQM в xcos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Реализуйте модель TCP/AQM в xcos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динамии изменения размера ТСР окна W(t) и размера очереди Q(t)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ТCP/AQM в OpenModelica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Построим схему xcos, моделирующую нашу систему с начальными значениями параметров N=1, R=1, K=5.3, C=1, W(0)=0.1, Q(0)=1. Для этого сначала зададим переменные окружения.</w:t>
      </w:r>
    </w:p>
    <w:bookmarkStart w:id="25" w:name="fig:001"/>
    <w:p>
      <w:pPr>
        <w:pStyle w:val="CaptionedFigure"/>
      </w:pPr>
      <w:r>
        <w:drawing>
          <wp:inline>
            <wp:extent cx="3520440" cy="2217420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9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bookmarkEnd w:id="25"/>
    <w:p>
      <w:pPr>
        <w:pStyle w:val="BodyText"/>
      </w:pPr>
      <w:r>
        <w:t xml:space="preserve">Еще зададим параметры моделирования</w:t>
      </w:r>
    </w:p>
    <w:bookmarkStart w:id="29" w:name="fig:002"/>
    <w:p>
      <w:pPr>
        <w:pStyle w:val="CaptionedFigure"/>
      </w:pPr>
      <w:r>
        <w:drawing>
          <wp:inline>
            <wp:extent cx="3733800" cy="1949349"/>
            <wp:effectExtent b="0" l="0" r="0" t="0"/>
            <wp:docPr descr="Рис. 2: Параметры моделирования" title="" id="27" name="Picture"/>
            <a:graphic>
              <a:graphicData uri="http://schemas.openxmlformats.org/drawingml/2006/picture">
                <pic:pic>
                  <pic:nvPicPr>
                    <pic:cNvPr descr="image/8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моделирования</w:t>
      </w:r>
    </w:p>
    <w:bookmarkEnd w:id="29"/>
    <w:p>
      <w:pPr>
        <w:pStyle w:val="BodyText"/>
      </w:pPr>
      <w:r>
        <w:t xml:space="preserve">Установим начальные значения в блоках интегрирования</w:t>
      </w:r>
    </w:p>
    <w:bookmarkStart w:id="33" w:name="fig:003"/>
    <w:p>
      <w:pPr>
        <w:pStyle w:val="CaptionedFigure"/>
      </w:pPr>
      <w:r>
        <w:drawing>
          <wp:inline>
            <wp:extent cx="3261360" cy="2118360"/>
            <wp:effectExtent b="0" l="0" r="0" t="0"/>
            <wp:docPr descr="Рис. 3: Блоки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Блоки интегрирования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162300" cy="2156460"/>
            <wp:effectExtent b="0" l="0" r="0" t="0"/>
            <wp:docPr descr="Рис. 4: Блоки интегрирования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Блоки интегрирования</w:t>
      </w:r>
    </w:p>
    <w:bookmarkEnd w:id="37"/>
    <w:p>
      <w:pPr>
        <w:pStyle w:val="BodyText"/>
      </w:pPr>
      <w:r>
        <w:t xml:space="preserve">Установим параметры задержки</w:t>
      </w:r>
    </w:p>
    <w:bookmarkStart w:id="41" w:name="fig:005"/>
    <w:p>
      <w:pPr>
        <w:pStyle w:val="CaptionedFigure"/>
      </w:pPr>
      <w:r>
        <w:drawing>
          <wp:inline>
            <wp:extent cx="2293620" cy="1661160"/>
            <wp:effectExtent b="0" l="0" r="0" t="0"/>
            <wp:docPr descr="Рис. 5: Параметры задержки" title="" id="39" name="Picture"/>
            <a:graphic>
              <a:graphicData uri="http://schemas.openxmlformats.org/drawingml/2006/picture">
                <pic:pic>
                  <pic:nvPicPr>
                    <pic:cNvPr descr="image/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задержки</w:t>
      </w:r>
    </w:p>
    <w:bookmarkEnd w:id="41"/>
    <w:p>
      <w:pPr>
        <w:pStyle w:val="BodyText"/>
      </w:pPr>
      <w:r>
        <w:t xml:space="preserve">Запись выражения определяющего Q(t) в блок Expression</w:t>
      </w:r>
    </w:p>
    <w:bookmarkStart w:id="45" w:name="fig:006"/>
    <w:p>
      <w:pPr>
        <w:pStyle w:val="CaptionedFigure"/>
      </w:pPr>
      <w:r>
        <w:drawing>
          <wp:inline>
            <wp:extent cx="3733800" cy="1521806"/>
            <wp:effectExtent b="0" l="0" r="0" t="0"/>
            <wp:docPr descr="Рис. 6: Выражение в блоке Expression" title="" id="43" name="Picture"/>
            <a:graphic>
              <a:graphicData uri="http://schemas.openxmlformats.org/drawingml/2006/picture">
                <pic:pic>
                  <pic:nvPicPr>
                    <pic:cNvPr descr="image/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Выражение в блоке Expression</w:t>
      </w:r>
    </w:p>
    <w:bookmarkEnd w:id="45"/>
    <w:p>
      <w:pPr>
        <w:pStyle w:val="BodyText"/>
      </w:pPr>
      <w:r>
        <w:t xml:space="preserve">Установим параметры регистрирующих устройств для оптимального отображения графиков. Еще у блока CSCOPE ставим параметр refresh period =100, чтобы на графики отобразились результаты моделирования в течение 100 секунд модельного времени.</w:t>
      </w:r>
    </w:p>
    <w:bookmarkStart w:id="49" w:name="fig:007"/>
    <w:p>
      <w:pPr>
        <w:pStyle w:val="CaptionedFigure"/>
      </w:pPr>
      <w:r>
        <w:drawing>
          <wp:inline>
            <wp:extent cx="3573779" cy="3634740"/>
            <wp:effectExtent b="0" l="0" r="0" t="0"/>
            <wp:docPr descr="Рис. 7: Параметры CSCOPEXY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79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CSCOPEXY</w:t>
      </w:r>
    </w:p>
    <w:bookmarkEnd w:id="49"/>
    <w:bookmarkStart w:id="53" w:name="fig:008"/>
    <w:p>
      <w:pPr>
        <w:pStyle w:val="CaptionedFigure"/>
      </w:pPr>
      <w:r>
        <w:drawing>
          <wp:inline>
            <wp:extent cx="3589020" cy="3398520"/>
            <wp:effectExtent b="0" l="0" r="0" t="0"/>
            <wp:docPr descr="Рис. 8: Параметры CSCOPE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CSCOPE</w:t>
      </w:r>
    </w:p>
    <w:bookmarkEnd w:id="53"/>
    <w:p>
      <w:pPr>
        <w:pStyle w:val="BodyText"/>
      </w:pPr>
      <w:r>
        <w:t xml:space="preserve">Затем реализуем модель, разместив блоки интегрирования, суммирования, произведения, контсант, и регистрирующие устройства CSCOPE и CSCOPEXY для фазового портрета</w:t>
      </w:r>
    </w:p>
    <w:bookmarkStart w:id="57" w:name="fig:009"/>
    <w:p>
      <w:pPr>
        <w:pStyle w:val="CaptionedFigure"/>
      </w:pPr>
      <w:r>
        <w:drawing>
          <wp:inline>
            <wp:extent cx="3733800" cy="2223330"/>
            <wp:effectExtent b="0" l="0" r="0" t="0"/>
            <wp:docPr descr="Рис. 9: Модель TCP/AQM в xcos" title="" id="55" name="Picture"/>
            <a:graphic>
              <a:graphicData uri="http://schemas.openxmlformats.org/drawingml/2006/picture">
                <pic:pic>
                  <pic:nvPicPr>
                    <pic:cNvPr descr="image/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TCP/AQM в xcos</w:t>
      </w:r>
    </w:p>
    <w:bookmarkEnd w:id="57"/>
    <w:p>
      <w:pPr>
        <w:pStyle w:val="BodyText"/>
      </w:pPr>
      <w:r>
        <w:t xml:space="preserve">Получим динамику изменения размера ТСР окна W(t) (зеленая линия) и размера очереди Q(t)(Черная линия), а также фазовый портрет который показывает наличие автоколебаний параметров системы - фазовая траектория осциллирует вокруг своей стацнионарной точки</w:t>
      </w:r>
    </w:p>
    <w:bookmarkStart w:id="61" w:name="fig:010"/>
    <w:p>
      <w:pPr>
        <w:pStyle w:val="CaptionedFigure"/>
      </w:pPr>
      <w:r>
        <w:drawing>
          <wp:inline>
            <wp:extent cx="3733800" cy="2436729"/>
            <wp:effectExtent b="0" l="0" r="0" t="0"/>
            <wp:docPr descr="Рис. 10: Динамика изменения размера ТСР окна W(t) (зеленая линия) и размера очереди Q(t)(Черная линия)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размера ТСР окна W(t) (зеленая линия) и размера очереди Q(t)(Черная линия)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411934"/>
            <wp:effectExtent b="0" l="0" r="0" t="0"/>
            <wp:docPr descr="Рис. 11: Фазовый портрет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</w:t>
      </w:r>
    </w:p>
    <w:bookmarkEnd w:id="65"/>
    <w:p>
      <w:pPr>
        <w:pStyle w:val="BodyText"/>
      </w:pPr>
      <w:r>
        <w:t xml:space="preserve">Уменьшим скорость обработки пакетов С до 0.9, увидим, что автоколебания стали более выраженными</w:t>
      </w:r>
    </w:p>
    <w:bookmarkStart w:id="69" w:name="fig:012"/>
    <w:p>
      <w:pPr>
        <w:pStyle w:val="CaptionedFigure"/>
      </w:pPr>
      <w:r>
        <w:drawing>
          <wp:inline>
            <wp:extent cx="3733800" cy="2246434"/>
            <wp:effectExtent b="0" l="0" r="0" t="0"/>
            <wp:docPr descr="Рис. 12: Динамика изменения размера ТСР окна W(t) и размера очереди Q(t) при С=0.9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размера ТСР окна W(t) и размера очереди Q(t) при С=0.9</w:t>
      </w:r>
    </w:p>
    <w:bookmarkEnd w:id="69"/>
    <w:p>
      <w:pPr>
        <w:pStyle w:val="BodyText"/>
      </w:pPr>
      <w:r>
        <w:t xml:space="preserve">Далее мы реализуем нашу модель в OpenModelica. Зададим параметры, начальные значения и СДУ</w:t>
      </w:r>
    </w:p>
    <w:bookmarkStart w:id="73" w:name="fig:013"/>
    <w:p>
      <w:pPr>
        <w:pStyle w:val="CaptionedFigure"/>
      </w:pPr>
      <w:r>
        <w:drawing>
          <wp:inline>
            <wp:extent cx="3733800" cy="1868922"/>
            <wp:effectExtent b="0" l="0" r="0" t="0"/>
            <wp:docPr descr="Рис. 13: Модель ТCP/AQM OpenModelica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ТCP/AQM OpenModelica</w:t>
      </w:r>
    </w:p>
    <w:bookmarkEnd w:id="73"/>
    <w:p>
      <w:pPr>
        <w:pStyle w:val="BodyText"/>
      </w:pPr>
      <w:r>
        <w:t xml:space="preserve">Затем установим параметры симуляции - 100 единиц модельного времени. В результате получим динамику изменения размера ТСР окна W(t) (красная линия) и размера очереди Q(t)(синяя линия), а также фазовый портрет, показывающий наличие автоколебаний параметров системы - фазовая траектория осциллирует вокруг своей стационарной точки</w:t>
      </w:r>
    </w:p>
    <w:bookmarkStart w:id="77" w:name="fig:014"/>
    <w:p>
      <w:pPr>
        <w:pStyle w:val="CaptionedFigure"/>
      </w:pPr>
      <w:r>
        <w:drawing>
          <wp:inline>
            <wp:extent cx="3733800" cy="1137642"/>
            <wp:effectExtent b="0" l="0" r="0" t="0"/>
            <wp:docPr descr="Рис. 14: Динамика изменения размера ТСР окна W(t) (красная линия) и размера очереди Q(t)(синяя линия)" title="" id="75" name="Picture"/>
            <a:graphic>
              <a:graphicData uri="http://schemas.openxmlformats.org/drawingml/2006/picture">
                <pic:pic>
                  <pic:nvPicPr>
                    <pic:cNvPr descr="image/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Динамика изменения размера ТСР окна W(t) (красная линия) и размера очереди Q(t)(синяя линия)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1123057"/>
            <wp:effectExtent b="0" l="0" r="0" t="0"/>
            <wp:docPr descr="Рис. 15: Фазовый портрет" title="" id="79" name="Picture"/>
            <a:graphic>
              <a:graphicData uri="http://schemas.openxmlformats.org/drawingml/2006/picture">
                <pic:pic>
                  <pic:nvPicPr>
                    <pic:cNvPr descr="image/16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Фазовый портрет</w:t>
      </w:r>
    </w:p>
    <w:bookmarkEnd w:id="81"/>
    <w:p>
      <w:pPr>
        <w:pStyle w:val="BodyText"/>
      </w:pPr>
      <w:r>
        <w:t xml:space="preserve">Изменим скорость обработки пакетов С до 0.9</w:t>
      </w:r>
    </w:p>
    <w:bookmarkStart w:id="85" w:name="fig:016"/>
    <w:p>
      <w:pPr>
        <w:pStyle w:val="CaptionedFigure"/>
      </w:pPr>
      <w:r>
        <w:drawing>
          <wp:inline>
            <wp:extent cx="3733800" cy="2296102"/>
            <wp:effectExtent b="0" l="0" r="0" t="0"/>
            <wp:docPr descr="Рис. 16: Модель ТCP/AQM OpenModelica с С=0.9" title="" id="83" name="Picture"/>
            <a:graphic>
              <a:graphicData uri="http://schemas.openxmlformats.org/drawingml/2006/picture">
                <pic:pic>
                  <pic:nvPicPr>
                    <pic:cNvPr descr="image/17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Модель ТCP/AQM OpenModelica с С=0.9</w:t>
      </w:r>
    </w:p>
    <w:bookmarkEnd w:id="85"/>
    <w:p>
      <w:pPr>
        <w:pStyle w:val="BodyText"/>
      </w:pPr>
      <w:r>
        <w:t xml:space="preserve">Увидим как и в xcos, что колебания стали более выраженными</w:t>
      </w:r>
    </w:p>
    <w:bookmarkStart w:id="89" w:name="fig:017"/>
    <w:p>
      <w:pPr>
        <w:pStyle w:val="CaptionedFigure"/>
      </w:pPr>
      <w:r>
        <w:drawing>
          <wp:inline>
            <wp:extent cx="3733800" cy="1090969"/>
            <wp:effectExtent b="0" l="0" r="0" t="0"/>
            <wp:docPr descr="Рис. 17: Динамика изменения размера ТСР окна W(t) и размера очереди Q(t) при С=0.9" title="" id="87" name="Picture"/>
            <a:graphic>
              <a:graphicData uri="http://schemas.openxmlformats.org/drawingml/2006/picture">
                <pic:pic>
                  <pic:nvPicPr>
                    <pic:cNvPr descr="image/18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Динамика изменения размера ТСР окна W(t) и размера очереди Q(t) при С=0.9</w:t>
      </w:r>
    </w:p>
    <w:bookmarkEnd w:id="89"/>
    <w:bookmarkStart w:id="93" w:name="fig:018"/>
    <w:p>
      <w:pPr>
        <w:pStyle w:val="CaptionedFigure"/>
      </w:pPr>
      <w:r>
        <w:drawing>
          <wp:inline>
            <wp:extent cx="3733800" cy="1102637"/>
            <wp:effectExtent b="0" l="0" r="0" t="0"/>
            <wp:docPr descr="Рис. 18: Фазовый портрет с С=0.9" title="" id="91" name="Picture"/>
            <a:graphic>
              <a:graphicData uri="http://schemas.openxmlformats.org/drawingml/2006/picture">
                <pic:pic>
                  <pic:nvPicPr>
                    <pic:cNvPr descr="image/19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Фазовый портрет с С=0.9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реализовал модель ТСР/AQM в xcos и OpenModelica</w:t>
      </w:r>
    </w:p>
    <w:bookmarkEnd w:id="9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jpg" /><Relationship Type="http://schemas.openxmlformats.org/officeDocument/2006/relationships/image" Id="rId62" Target="media/rId62.jpg" /><Relationship Type="http://schemas.openxmlformats.org/officeDocument/2006/relationships/image" Id="rId58" Target="media/rId58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26" Target="media/rId26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Оразгелдиев Язгелди</dc:creator>
  <dc:language>ru-RU</dc:language>
  <cp:keywords/>
  <dcterms:created xsi:type="dcterms:W3CDTF">2025-03-22T16:39:50Z</dcterms:created>
  <dcterms:modified xsi:type="dcterms:W3CDTF">2025-03-22T16:39:50Z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TCP/AQM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