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9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5.jpg" ContentType="image/jpeg"/>
  <Override PartName="/word/media/rId79.jpg" ContentType="image/jpeg"/>
  <Override PartName="/word/media/rId83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Решение</w:t>
      </w:r>
      <w:r>
        <w:t xml:space="preserve"> </w:t>
      </w:r>
      <w:r>
        <w:t xml:space="preserve">моделей</w:t>
      </w:r>
      <w:r>
        <w:t xml:space="preserve"> </w:t>
      </w:r>
      <w:r>
        <w:t xml:space="preserve">в</w:t>
      </w:r>
      <w:r>
        <w:t xml:space="preserve"> </w:t>
      </w:r>
      <w:r>
        <w:t xml:space="preserve">непрерывном</w:t>
      </w:r>
      <w:r>
        <w:t xml:space="preserve"> </w:t>
      </w:r>
      <w:r>
        <w:t xml:space="preserve">и</w:t>
      </w:r>
      <w:r>
        <w:t xml:space="preserve"> </w:t>
      </w:r>
      <w:r>
        <w:t xml:space="preserve">дискретном</w:t>
      </w:r>
      <w:r>
        <w:t xml:space="preserve"> </w:t>
      </w:r>
      <w:r>
        <w:t xml:space="preserve">времени</w:t>
      </w:r>
    </w:p>
    <w:p>
      <w:pPr>
        <w:pStyle w:val="Author"/>
      </w:pPr>
      <w:r>
        <w:t xml:space="preserve">Оразгелдиев</w:t>
      </w:r>
      <w:r>
        <w:t xml:space="preserve"> </w:t>
      </w:r>
      <w:r>
        <w:t xml:space="preserve">Язгелди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для решения задач в непрерывном и дискретном времени.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Используя JupyterLab, повторите примерыи. При этом дополните графики</w:t>
      </w:r>
      <w:r>
        <w:t xml:space="preserve"> </w:t>
      </w:r>
      <w:r>
        <w:t xml:space="preserve">обозначениями осей координат, легендой с названиями траекторий, названиями</w:t>
      </w:r>
      <w:r>
        <w:t xml:space="preserve"> </w:t>
      </w:r>
      <w:r>
        <w:t xml:space="preserve">графиков и т.п.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Julia – высокоуровневый свободный язык программирования с динамической типизацией, созданный для математических вычислений</w:t>
      </w:r>
      <w:r>
        <w:t xml:space="preserve"> </w:t>
      </w:r>
      <w:r>
        <w:t xml:space="preserve">[</w:t>
      </w:r>
      <w:r>
        <w:rPr>
          <w:bCs/>
          <w:b/>
        </w:rPr>
        <w:t xml:space="preserve">julialang?</w:t>
      </w:r>
      <w:r>
        <w:t xml:space="preserve">]</w:t>
      </w:r>
      <w: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t xml:space="preserve">Для выполнения заданий была использована официальная документация Julia</w:t>
      </w:r>
      <w:r>
        <w:t xml:space="preserve"> </w:t>
      </w:r>
      <w:r>
        <w:t xml:space="preserve">[</w:t>
      </w:r>
      <w:r>
        <w:rPr>
          <w:bCs/>
          <w:b/>
        </w:rPr>
        <w:t xml:space="preserve">juliadoc?</w:t>
      </w:r>
      <w:r>
        <w:t xml:space="preserve">]</w:t>
      </w:r>
      <w:r>
        <w:t xml:space="preserve">.</w:t>
      </w:r>
    </w:p>
    <w:bookmarkEnd w:id="22"/>
    <w:bookmarkStart w:id="8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Выполним примеры из лабораторной работы для знакомства с работой с различными моделями и способами их задания решения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fig:001?</w:t>
      </w:r>
      <w:r>
        <w:t xml:space="preserve">]</w:t>
      </w:r>
      <w:r>
        <w:t xml:space="preserve">-</w:t>
      </w:r>
      <w:r>
        <w:t xml:space="preserve">[</w:t>
      </w:r>
      <w:r>
        <w:rPr>
          <w:bCs/>
          <w:b/>
        </w:rPr>
        <w:t xml:space="preserve">fig:003?</w:t>
      </w:r>
      <w:r>
        <w:t xml:space="preserve">]</w:t>
      </w:r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26" w:name="fig:001"/>
          <w:p>
            <w:pPr>
              <w:jc w:val="center"/>
            </w:pPr>
            <w:r>
              <w:drawing>
                <wp:inline>
                  <wp:extent cx="3604260" cy="387857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4260" cy="3878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Модель экспоненциального роста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0" w:name="fig:002"/>
          <w:p>
            <w:pPr>
              <w:jc w:val="center"/>
            </w:pPr>
            <w:r>
              <w:drawing>
                <wp:inline>
                  <wp:extent cx="3733800" cy="417981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9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Система Лоренца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4" w:name="fig:003"/>
          <w:p>
            <w:pPr>
              <w:jc w:val="center"/>
            </w:pPr>
            <w:r>
              <w:drawing>
                <wp:inline>
                  <wp:extent cx="3733800" cy="445629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56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Модель Лотки–Вольтерры</w:t>
            </w:r>
          </w:p>
          <w:bookmarkEnd w:id="34"/>
        </w:tc>
      </w:tr>
    </w:tbl>
    <w:p>
      <w:pPr>
        <w:pStyle w:val="BodyText"/>
      </w:pPr>
      <w:r>
        <w:t xml:space="preserve">Далее перейдем к заданиям для самостоятельного выполнения.</w:t>
      </w:r>
    </w:p>
    <w:p>
      <w:pPr>
        <w:pStyle w:val="BodyText"/>
      </w:pPr>
      <w:r>
        <w:t xml:space="preserve">Реализуем и проанализируем модель роста численности изолированной популяции(модель Мальтуса):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численность изолированной популяции в момент времени</w:t>
      </w:r>
      <w:r>
        <w:t xml:space="preserve"> </w:t>
      </w:r>
      <m:oMath>
        <m:r>
          <m:t>t</m:t>
        </m:r>
      </m:oMath>
      <w:r>
        <w:t xml:space="preserve">,</w:t>
      </w:r>
      <m:oMath>
        <m:r>
          <m:t>a</m:t>
        </m:r>
      </m:oMath>
      <w:r>
        <w:t xml:space="preserve"> </w:t>
      </w:r>
      <w:r>
        <w:t xml:space="preserve">– коэффициент роста популяции,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коэффициент рождаемости,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коэффициент смертности.</w:t>
      </w:r>
      <w:r>
        <w:t xml:space="preserve"> </w:t>
      </w:r>
      <w:r>
        <w:t xml:space="preserve">Построим соответствующие графики (в том числе с анимацией)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fig:004?</w:t>
      </w:r>
      <w:r>
        <w:t xml:space="preserve">]</w:t>
      </w:r>
      <w:r>
        <w:t xml:space="preserve">-</w:t>
      </w:r>
      <w:r>
        <w:t xml:space="preserve">[</w:t>
      </w:r>
      <w:r>
        <w:rPr>
          <w:bCs/>
          <w:b/>
        </w:rPr>
        <w:t xml:space="preserve">fig:005?</w:t>
      </w:r>
      <w:r>
        <w:t xml:space="preserve">]</w:t>
      </w:r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8" w:name="fig:004"/>
          <w:p>
            <w:pPr>
              <w:jc w:val="center"/>
            </w:pPr>
            <w:r>
              <w:drawing>
                <wp:inline>
                  <wp:extent cx="3230880" cy="545592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0880" cy="5455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модель Мальтуса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2" w:name="fig:005"/>
          <w:p>
            <w:pPr>
              <w:jc w:val="center"/>
            </w:pPr>
            <w:r>
              <w:drawing>
                <wp:inline>
                  <wp:extent cx="3474720" cy="374904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0" cy="3749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модель Мальтуса</w:t>
            </w:r>
          </w:p>
          <w:bookmarkEnd w:id="42"/>
        </w:tc>
      </w:tr>
    </w:tbl>
    <w:p>
      <w:pPr>
        <w:pStyle w:val="BodyText"/>
      </w:pPr>
      <w:r>
        <w:t xml:space="preserve">Реализуем и проанализируем логистическую модель роста популяции: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r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k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коэффициент роста популяции,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– потенциальная ёмкость экологической системы (предельное значение численности популяции).</w:t>
      </w:r>
      <w:r>
        <w:t xml:space="preserve"> </w:t>
      </w:r>
      <w:r>
        <w:t xml:space="preserve">Построим соответствующие графики (в том числе с анимацией)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fig:006?</w:t>
      </w:r>
      <w:r>
        <w:t xml:space="preserve">]</w:t>
      </w:r>
      <w:r>
        <w:t xml:space="preserve">-</w:t>
      </w:r>
      <w:r>
        <w:t xml:space="preserve">[</w:t>
      </w:r>
      <w:r>
        <w:rPr>
          <w:bCs/>
          <w:b/>
        </w:rPr>
        <w:t xml:space="preserve">fig:007?</w:t>
      </w:r>
      <w:r>
        <w:t xml:space="preserve">]</w:t>
      </w:r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6" w:name="fig:006"/>
          <w:p>
            <w:pPr>
              <w:jc w:val="center"/>
            </w:pPr>
            <w:r>
              <w:drawing>
                <wp:inline>
                  <wp:extent cx="3733800" cy="487814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78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Логистическая модель роста популяции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0" w:name="fig:007"/>
          <w:p>
            <w:pPr>
              <w:jc w:val="center"/>
            </w:pPr>
            <w:r>
              <w:drawing>
                <wp:inline>
                  <wp:extent cx="3581400" cy="355092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0" cy="3550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Логистическая модель роста популяции</w:t>
            </w:r>
          </w:p>
          <w:bookmarkEnd w:id="50"/>
        </w:tc>
      </w:tr>
    </w:tbl>
    <w:p>
      <w:pPr>
        <w:pStyle w:val="BodyText"/>
      </w:pPr>
      <w:r>
        <w:t xml:space="preserve">Реализуем и проанализируем логистическую модель эпидемии Кермака–Маккендрика (SIR-модель):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– численность восприимчивой популяции,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– численность инфицированных,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численность удаленной популяции (в результате смерти или выздоровления), 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это сумма этих трёх, 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- это коэффициенты заболеваемости</w:t>
      </w:r>
      <w:r>
        <w:t xml:space="preserve"> </w:t>
      </w:r>
      <w:r>
        <w:t xml:space="preserve">и выздоровления соответственно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fig:008?</w:t>
      </w:r>
      <w:r>
        <w:t xml:space="preserve">]</w:t>
      </w:r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4" w:name="fig:008"/>
          <w:p>
            <w:pPr>
              <w:jc w:val="center"/>
            </w:pPr>
            <w:r>
              <w:drawing>
                <wp:inline>
                  <wp:extent cx="3733800" cy="492654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26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SIR-модель</w:t>
            </w:r>
          </w:p>
          <w:bookmarkEnd w:id="54"/>
        </w:tc>
      </w:tr>
    </w:tbl>
    <w:p>
      <w:pPr>
        <w:pStyle w:val="BodyText"/>
      </w:pPr>
      <w:r>
        <w:t xml:space="preserve">Как расширение модели SIR (Susceptible-Infected-Removed) по результатам эпидемии испанки была предложена модель SEIR (Susceptible-Exposed-Infected-Removed)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fig:009?</w:t>
      </w:r>
      <w:r>
        <w:t xml:space="preserve">]</w:t>
      </w:r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β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E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β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δ</m:t>
                    </m:r>
                    <m: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δ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8" w:name="fig:009"/>
          <w:p>
            <w:pPr>
              <w:jc w:val="center"/>
            </w:pPr>
            <w:r>
              <w:drawing>
                <wp:inline>
                  <wp:extent cx="3733800" cy="517156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71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SEIR-модель</w:t>
            </w:r>
          </w:p>
          <w:bookmarkEnd w:id="58"/>
        </w:tc>
      </w:tr>
    </w:tbl>
    <w:p>
      <w:pPr>
        <w:pStyle w:val="BodyText"/>
      </w:pPr>
      <w:r>
        <w:t xml:space="preserve">Для дискретной модели Лотки–Вольтерры: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данными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найдем точку равновесия. Получим и сравним аналитическое и численное решения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fig:010?</w:t>
      </w:r>
      <w:r>
        <w:t xml:space="preserve">]</w:t>
      </w:r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2" w:name="fig:010"/>
          <w:p>
            <w:pPr>
              <w:jc w:val="center"/>
            </w:pPr>
            <w:r>
              <w:drawing>
                <wp:inline>
                  <wp:extent cx="3733800" cy="521105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11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Дискретная модель Лотки–Вольтерры</w:t>
            </w:r>
          </w:p>
          <w:bookmarkEnd w:id="62"/>
        </w:tc>
      </w:tr>
    </w:tbl>
    <w:p>
      <w:pPr>
        <w:pStyle w:val="BodyText"/>
      </w:pPr>
      <w:r>
        <w:t xml:space="preserve">Реализуем на языке Julia модель отбора на основе конкурентных отношений: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Построим соответствующие графики (в том числе с анимацией) и фазовый портрет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fig:011?</w:t>
      </w:r>
      <w:r>
        <w:t xml:space="preserve">]</w:t>
      </w:r>
      <w:r>
        <w:t xml:space="preserve">-</w:t>
      </w:r>
      <w:r>
        <w:t xml:space="preserve">[</w:t>
      </w:r>
      <w:r>
        <w:rPr>
          <w:bCs/>
          <w:b/>
        </w:rPr>
        <w:t xml:space="preserve">fig:012?</w:t>
      </w:r>
      <w:r>
        <w:t xml:space="preserve">]</w:t>
      </w:r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6" w:name="fig:011"/>
          <w:p>
            <w:pPr>
              <w:jc w:val="center"/>
            </w:pPr>
            <w:r>
              <w:drawing>
                <wp:inline>
                  <wp:extent cx="3566160" cy="500634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6160" cy="5006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Модель отбора на основе конкурентных отношений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0" w:name="fig:012"/>
          <w:p>
            <w:pPr>
              <w:jc w:val="center"/>
            </w:pPr>
            <w:r>
              <w:drawing>
                <wp:inline>
                  <wp:extent cx="3733800" cy="485828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58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Модель отбора на основе конкурентных отношений</w:t>
            </w:r>
          </w:p>
          <w:bookmarkEnd w:id="70"/>
        </w:tc>
      </w:tr>
    </w:tbl>
    <w:p>
      <w:pPr>
        <w:pStyle w:val="BodyText"/>
      </w:pPr>
      <w:r>
        <w:t xml:space="preserve">Реализуем на языке Julia модель консервативного гармонического осциллятора: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acc>
            <m:accPr>
              <m:chr m:val="̇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Построим соответствующие графики (в том числе с анимацией) и фазовый портрет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fig:013?</w:t>
      </w:r>
      <w:r>
        <w:t xml:space="preserve">]</w:t>
      </w:r>
      <w:r>
        <w:t xml:space="preserve">-</w:t>
      </w:r>
      <w:r>
        <w:t xml:space="preserve">[</w:t>
      </w:r>
      <w:r>
        <w:rPr>
          <w:bCs/>
          <w:b/>
        </w:rPr>
        <w:t xml:space="preserve">fig:014?</w:t>
      </w:r>
      <w:r>
        <w:t xml:space="preserve">]</w:t>
      </w:r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4" w:name="fig:013"/>
          <w:p>
            <w:pPr>
              <w:jc w:val="center"/>
            </w:pPr>
            <w:r>
              <w:drawing>
                <wp:inline>
                  <wp:extent cx="3733800" cy="478302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83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Модель консервативного гармонического осциллятора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8" w:name="fig:014"/>
          <w:p>
            <w:pPr>
              <w:jc w:val="center"/>
            </w:pPr>
            <w:r>
              <w:drawing>
                <wp:inline>
                  <wp:extent cx="3733800" cy="427534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5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Модель консервативного гармонического осциллятора</w:t>
            </w:r>
          </w:p>
          <w:bookmarkEnd w:id="78"/>
        </w:tc>
      </w:tr>
    </w:tbl>
    <w:p>
      <w:pPr>
        <w:pStyle w:val="BodyText"/>
      </w:pPr>
      <w:r>
        <w:t xml:space="preserve">Реализуем на языке Julia модель свободных колебаний гармонического осциллятора: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acc>
            <m:accPr>
              <m:chr m:val="̇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Построим соответствующие графики (в том числе с анимацией) и фазовый портрет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fig:015?</w:t>
      </w:r>
      <w:r>
        <w:t xml:space="preserve">]</w:t>
      </w:r>
      <w:r>
        <w:t xml:space="preserve">-</w:t>
      </w:r>
      <w:r>
        <w:t xml:space="preserve">[</w:t>
      </w:r>
      <w:r>
        <w:rPr>
          <w:bCs/>
          <w:b/>
        </w:rPr>
        <w:t xml:space="preserve">fig:016?</w:t>
      </w:r>
      <w:r>
        <w:t xml:space="preserve">]</w:t>
      </w:r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2" w:name="fig:015"/>
          <w:p>
            <w:pPr>
              <w:jc w:val="center"/>
            </w:pPr>
            <w:r>
              <w:drawing>
                <wp:inline>
                  <wp:extent cx="3733800" cy="536733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67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Модель свободных колебаний гармонического осциллятора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6" w:name="fig:016"/>
          <w:p>
            <w:pPr>
              <w:jc w:val="center"/>
            </w:pPr>
            <w:r>
              <w:drawing>
                <wp:inline>
                  <wp:extent cx="3726179" cy="45720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jp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6179" cy="457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Модель свободных колебаний гармонического осциллятора</w:t>
            </w:r>
          </w:p>
          <w:bookmarkEnd w:id="86"/>
        </w:tc>
      </w:tr>
    </w:tbl>
    <w:bookmarkEnd w:id="87"/>
    <w:bookmarkStart w:id="8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 специализированные пакеты для решения задач в непрерывном и дискретном времени.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Оразгелдиев Язгелди</dc:creator>
  <dc:language>ru-RU</dc:language>
  <cp:keywords/>
  <dcterms:created xsi:type="dcterms:W3CDTF">2025-11-22T17:52:01Z</dcterms:created>
  <dcterms:modified xsi:type="dcterms:W3CDTF">2025-11-22T17:52:01Z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Решение моделей в непрерывном и дискретном времени</vt:lpwstr>
  </property>
  <property fmtid="{D5CDD505-2E9C-101B-9397-08002B2CF9AE}" pid="16" name="toc-title">
    <vt:lpwstr>Содержание</vt:lpwstr>
  </property>
</Properties>
</file>